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版本号：ZMZB2025YDDX-416R20251111001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光电芯片用超快光信号分析系统采购项目（二次）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ZMZB2025YDDX-416R</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光电芯片用超快光信号分析系统采购项目（二次）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ZMZB2025YDDX-416R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光电芯片用超快光信号分析系统采购项目（二次）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光电芯片用超快光信号分析系统采购项目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1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6、无重大违法记录的书面声明：供应商应出具参加采购活动前3年内在经营活动中没有重大违法记录的书面声明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8、本项目不接受联合体响应：本项目不接受联合体响应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尉华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说明：1.成交供应商在签订合同前5个工作日内，向采购人缴纳合同总价5%的履约保证金； 2.合同如期履约完成，采购人免息原缴费账户退还履约保证金全款。</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代理服务费收费标准：中标金额在50万元以内的按照国家计委关于印发《招标代理服务收费管理暂行办法的通知》（计价格[2002]1980号）的收费标准收取； 中标金额50万及以上的采购项目按国家计委关于印发《采购代理服务收费管理暂行办法的通知》（计价格[2002]1980号）规定的标准下浮 20 %作为代理费报价，按合同约定实施完成采购代理工作。 供应商将招标代理服务费计入响应报价但不单独列明，中标（成交）单位在领取中标通知书前，须向采购代理机构一次性支付招标代理服务费；代理服务费以转账、电汇或现金等形式交纳。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联系人：米老师</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光电芯片用超快光信号分析系统采购项目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790,000.00</w:t>
      </w:r>
    </w:p>
    <w:p>
      <w:pPr>
        <w:pStyle w:val="null3"/>
      </w:pPr>
      <w:r>
        <w:rPr>
          <w:rFonts w:ascii="仿宋_GB2312" w:hAnsi="仿宋_GB2312" w:cs="仿宋_GB2312" w:eastAsia="仿宋_GB2312"/>
        </w:rPr>
        <w:t>采购包最高限价（元）: 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光电芯片用超快光信号分析系统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标的名称：光电芯片用超快光信号分析系统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系统</w:t>
            </w:r>
            <w:r>
              <w:rPr>
                <w:rFonts w:ascii="仿宋_GB2312" w:hAnsi="仿宋_GB2312" w:cs="仿宋_GB2312" w:eastAsia="仿宋_GB2312"/>
                <w:sz w:val="20"/>
              </w:rPr>
              <w:t>包含光束分析、脉冲相位宽度测量和偏振分析</w:t>
            </w:r>
            <w:r>
              <w:rPr>
                <w:rFonts w:ascii="仿宋_GB2312" w:hAnsi="仿宋_GB2312" w:cs="仿宋_GB2312" w:eastAsia="仿宋_GB2312"/>
                <w:sz w:val="20"/>
              </w:rPr>
              <w:t>控制</w:t>
            </w:r>
            <w:r>
              <w:rPr>
                <w:rFonts w:ascii="仿宋_GB2312" w:hAnsi="仿宋_GB2312" w:cs="仿宋_GB2312" w:eastAsia="仿宋_GB2312"/>
                <w:sz w:val="20"/>
              </w:rPr>
              <w:t>模块</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rPr>
              <w:t>光束分析模块</w:t>
            </w:r>
            <w:r>
              <w:rPr>
                <w:rFonts w:ascii="仿宋_GB2312" w:hAnsi="仿宋_GB2312" w:cs="仿宋_GB2312" w:eastAsia="仿宋_GB2312"/>
                <w:sz w:val="20"/>
              </w:rPr>
              <w:t>指标要求：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.图像</w:t>
            </w:r>
            <w:r>
              <w:rPr>
                <w:rFonts w:ascii="仿宋_GB2312" w:hAnsi="仿宋_GB2312" w:cs="仿宋_GB2312" w:eastAsia="仿宋_GB2312"/>
                <w:sz w:val="20"/>
              </w:rPr>
              <w:t>采集</w:t>
            </w:r>
            <w:r>
              <w:rPr>
                <w:rFonts w:ascii="仿宋_GB2312" w:hAnsi="仿宋_GB2312" w:cs="仿宋_GB2312" w:eastAsia="仿宋_GB2312"/>
                <w:sz w:val="20"/>
              </w:rPr>
              <w:t>光谱范围</w:t>
            </w:r>
            <w:r>
              <w:rPr>
                <w:rFonts w:ascii="仿宋_GB2312" w:hAnsi="仿宋_GB2312" w:cs="仿宋_GB2312" w:eastAsia="仿宋_GB2312"/>
                <w:sz w:val="20"/>
              </w:rPr>
              <w:t>400</w:t>
            </w:r>
            <w:r>
              <w:rPr>
                <w:rFonts w:ascii="仿宋_GB2312" w:hAnsi="仿宋_GB2312" w:cs="仿宋_GB2312" w:eastAsia="仿宋_GB2312"/>
                <w:sz w:val="20"/>
              </w:rPr>
              <w:t>～</w:t>
            </w:r>
            <w:r>
              <w:rPr>
                <w:rFonts w:ascii="仿宋_GB2312" w:hAnsi="仿宋_GB2312" w:cs="仿宋_GB2312" w:eastAsia="仿宋_GB2312"/>
                <w:sz w:val="20"/>
              </w:rPr>
              <w:t>1700nm；</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图像</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280</w:t>
            </w:r>
            <w:r>
              <w:rPr>
                <w:rFonts w:ascii="仿宋_GB2312" w:hAnsi="仿宋_GB2312" w:cs="仿宋_GB2312" w:eastAsia="仿宋_GB2312"/>
                <w:sz w:val="20"/>
              </w:rPr>
              <w:t>*1</w:t>
            </w:r>
            <w:r>
              <w:rPr>
                <w:rFonts w:ascii="仿宋_GB2312" w:hAnsi="仿宋_GB2312" w:cs="仿宋_GB2312" w:eastAsia="仿宋_GB2312"/>
                <w:sz w:val="20"/>
              </w:rPr>
              <w:t>024</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有效探测面积</w:t>
            </w:r>
            <w:r>
              <w:rPr>
                <w:rFonts w:ascii="仿宋_GB2312" w:hAnsi="仿宋_GB2312" w:cs="仿宋_GB2312" w:eastAsia="仿宋_GB2312"/>
                <w:sz w:val="20"/>
              </w:rPr>
              <w:t>≥</w:t>
            </w:r>
            <w:r>
              <w:rPr>
                <w:rFonts w:ascii="仿宋_GB2312" w:hAnsi="仿宋_GB2312" w:cs="仿宋_GB2312" w:eastAsia="仿宋_GB2312"/>
                <w:sz w:val="20"/>
              </w:rPr>
              <w:t>5.0*5.0mm</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像素尺寸</w:t>
            </w:r>
            <w:r>
              <w:rPr>
                <w:rFonts w:ascii="仿宋_GB2312" w:hAnsi="仿宋_GB2312" w:cs="仿宋_GB2312" w:eastAsia="仿宋_GB2312"/>
                <w:sz w:val="20"/>
              </w:rPr>
              <w:t>≤</w:t>
            </w:r>
            <w:r>
              <w:rPr>
                <w:rFonts w:ascii="仿宋_GB2312" w:hAnsi="仿宋_GB2312" w:cs="仿宋_GB2312" w:eastAsia="仿宋_GB2312"/>
                <w:sz w:val="20"/>
              </w:rPr>
              <w:t>5*5um</w:t>
            </w:r>
          </w:p>
          <w:p>
            <w:pPr>
              <w:pStyle w:val="null3"/>
            </w:pPr>
            <w:r>
              <w:rPr>
                <w:rFonts w:ascii="仿宋_GB2312" w:hAnsi="仿宋_GB2312" w:cs="仿宋_GB2312" w:eastAsia="仿宋_GB2312"/>
                <w:sz w:val="20"/>
              </w:rPr>
              <w:t>★</w:t>
            </w:r>
            <w:r>
              <w:rPr>
                <w:rFonts w:ascii="仿宋_GB2312" w:hAnsi="仿宋_GB2312" w:cs="仿宋_GB2312" w:eastAsia="仿宋_GB2312"/>
                <w:sz w:val="20"/>
              </w:rPr>
              <w:t>6.冷却方式为风冷</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.曝光时间</w:t>
            </w:r>
            <w:r>
              <w:rPr>
                <w:rFonts w:ascii="仿宋_GB2312" w:hAnsi="仿宋_GB2312" w:cs="仿宋_GB2312" w:eastAsia="仿宋_GB2312"/>
                <w:sz w:val="20"/>
              </w:rPr>
              <w:t>25</w:t>
            </w:r>
            <w:r>
              <w:rPr>
                <w:rFonts w:ascii="仿宋_GB2312" w:hAnsi="仿宋_GB2312" w:cs="仿宋_GB2312" w:eastAsia="仿宋_GB2312"/>
                <w:sz w:val="20"/>
              </w:rPr>
              <w:t>μs</w:t>
            </w:r>
            <w:r>
              <w:rPr>
                <w:rFonts w:ascii="仿宋_GB2312" w:hAnsi="仿宋_GB2312" w:cs="仿宋_GB2312" w:eastAsia="仿宋_GB2312"/>
                <w:sz w:val="20"/>
              </w:rPr>
              <w:t>～</w:t>
            </w:r>
            <w:r>
              <w:rPr>
                <w:rFonts w:ascii="仿宋_GB2312" w:hAnsi="仿宋_GB2312" w:cs="仿宋_GB2312" w:eastAsia="仿宋_GB2312"/>
                <w:sz w:val="20"/>
              </w:rPr>
              <w:t>1s；</w:t>
            </w:r>
            <w:r>
              <w:rPr>
                <w:rFonts w:ascii="仿宋_GB2312" w:hAnsi="仿宋_GB2312" w:cs="仿宋_GB2312" w:eastAsia="仿宋_GB2312"/>
                <w:sz w:val="20"/>
              </w:rPr>
              <w:t>（提供证明材料，包括但不限于产品彩页、检测报告、功能截图等）</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.帧率≥60fps;</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.配备400-1700 nm 宽光谱成像镜头；</w:t>
            </w:r>
          </w:p>
          <w:p>
            <w:pPr>
              <w:pStyle w:val="null3"/>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.输入方式</w:t>
            </w:r>
            <w:r>
              <w:rPr>
                <w:rFonts w:ascii="仿宋_GB2312" w:hAnsi="仿宋_GB2312" w:cs="仿宋_GB2312" w:eastAsia="仿宋_GB2312"/>
                <w:sz w:val="20"/>
              </w:rPr>
              <w:t>为</w:t>
            </w:r>
            <w:r>
              <w:rPr>
                <w:rFonts w:ascii="仿宋_GB2312" w:hAnsi="仿宋_GB2312" w:cs="仿宋_GB2312" w:eastAsia="仿宋_GB2312"/>
                <w:sz w:val="20"/>
              </w:rPr>
              <w:t>光纤</w:t>
            </w:r>
            <w:r>
              <w:rPr>
                <w:rFonts w:ascii="仿宋_GB2312" w:hAnsi="仿宋_GB2312" w:cs="仿宋_GB2312" w:eastAsia="仿宋_GB2312"/>
                <w:sz w:val="20"/>
              </w:rPr>
              <w:t>/空间光可转换</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rPr>
              <w:t>脉冲相位宽度测量模块</w:t>
            </w:r>
            <w:r>
              <w:rPr>
                <w:rFonts w:ascii="仿宋_GB2312" w:hAnsi="仿宋_GB2312" w:cs="仿宋_GB2312" w:eastAsia="仿宋_GB2312"/>
                <w:sz w:val="20"/>
              </w:rPr>
              <w:t>指标要求：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11.响应波长范围1450～1650nm</w:t>
            </w:r>
          </w:p>
          <w:p>
            <w:pPr>
              <w:pStyle w:val="null3"/>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.可测量脉冲宽度：50 fs</w:t>
            </w:r>
            <w:r>
              <w:rPr>
                <w:rFonts w:ascii="仿宋_GB2312" w:hAnsi="仿宋_GB2312" w:cs="仿宋_GB2312" w:eastAsia="仿宋_GB2312"/>
                <w:sz w:val="20"/>
              </w:rPr>
              <w:t>～</w:t>
            </w:r>
            <w:r>
              <w:rPr>
                <w:rFonts w:ascii="仿宋_GB2312" w:hAnsi="仿宋_GB2312" w:cs="仿宋_GB2312" w:eastAsia="仿宋_GB2312"/>
                <w:sz w:val="20"/>
              </w:rPr>
              <w:t>40 ps</w:t>
            </w:r>
            <w:r>
              <w:rPr>
                <w:rFonts w:ascii="仿宋_GB2312" w:hAnsi="仿宋_GB2312" w:cs="仿宋_GB2312" w:eastAsia="仿宋_GB2312"/>
                <w:sz w:val="20"/>
              </w:rPr>
              <w:t>；</w:t>
            </w:r>
            <w:r>
              <w:rPr>
                <w:rFonts w:ascii="仿宋_GB2312" w:hAnsi="仿宋_GB2312" w:cs="仿宋_GB2312" w:eastAsia="仿宋_GB2312"/>
                <w:sz w:val="20"/>
              </w:rPr>
              <w:t>（提供证明材料，包括但不限于产品彩页、检测报告、功能截图等）</w:t>
            </w:r>
          </w:p>
          <w:p>
            <w:pPr>
              <w:pStyle w:val="null3"/>
            </w:pPr>
            <w:r>
              <w:rPr>
                <w:rFonts w:ascii="仿宋_GB2312" w:hAnsi="仿宋_GB2312" w:cs="仿宋_GB2312" w:eastAsia="仿宋_GB2312"/>
                <w:sz w:val="20"/>
              </w:rPr>
              <w:t>★</w:t>
            </w:r>
            <w:r>
              <w:rPr>
                <w:rFonts w:ascii="仿宋_GB2312" w:hAnsi="仿宋_GB2312" w:cs="仿宋_GB2312" w:eastAsia="仿宋_GB2312"/>
                <w:sz w:val="20"/>
              </w:rPr>
              <w:t>13.可测量脉冲相位分布</w:t>
            </w:r>
          </w:p>
          <w:p>
            <w:pPr>
              <w:pStyle w:val="null3"/>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.最小时间分辨率≤</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fs</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.扫描速度</w:t>
            </w:r>
            <w:r>
              <w:rPr>
                <w:rFonts w:ascii="仿宋_GB2312" w:hAnsi="仿宋_GB2312" w:cs="仿宋_GB2312" w:eastAsia="仿宋_GB2312"/>
                <w:sz w:val="20"/>
              </w:rPr>
              <w:t>≥</w:t>
            </w:r>
            <w:r>
              <w:rPr>
                <w:rFonts w:ascii="仿宋_GB2312" w:hAnsi="仿宋_GB2312" w:cs="仿宋_GB2312" w:eastAsia="仿宋_GB2312"/>
                <w:sz w:val="20"/>
              </w:rPr>
              <w:t>65 ps/s</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.输入脉冲重复频率：100 Hz</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GHz；</w:t>
            </w:r>
            <w:r>
              <w:rPr>
                <w:rFonts w:ascii="仿宋_GB2312" w:hAnsi="仿宋_GB2312" w:cs="仿宋_GB2312" w:eastAsia="仿宋_GB2312"/>
                <w:sz w:val="20"/>
              </w:rPr>
              <w:t>（提供证明材料，包括但不限于产品彩页、检测报告、功能截图等）</w:t>
            </w:r>
          </w:p>
          <w:p>
            <w:pPr>
              <w:pStyle w:val="null3"/>
            </w:pP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.最小</w:t>
            </w:r>
            <w:r>
              <w:rPr>
                <w:rFonts w:ascii="仿宋_GB2312" w:hAnsi="仿宋_GB2312" w:cs="仿宋_GB2312" w:eastAsia="仿宋_GB2312"/>
                <w:sz w:val="20"/>
              </w:rPr>
              <w:t>输入脉冲</w:t>
            </w:r>
            <w:r>
              <w:rPr>
                <w:rFonts w:ascii="仿宋_GB2312" w:hAnsi="仿宋_GB2312" w:cs="仿宋_GB2312" w:eastAsia="仿宋_GB2312"/>
                <w:sz w:val="20"/>
              </w:rPr>
              <w:t>能量</w:t>
            </w:r>
            <w:r>
              <w:rPr>
                <w:rFonts w:ascii="仿宋_GB2312" w:hAnsi="仿宋_GB2312" w:cs="仿宋_GB2312" w:eastAsia="仿宋_GB2312"/>
                <w:sz w:val="20"/>
              </w:rPr>
              <w:t>≤50 pJ@1 MHz</w:t>
            </w:r>
            <w:r>
              <w:rPr>
                <w:rFonts w:ascii="仿宋_GB2312" w:hAnsi="仿宋_GB2312" w:cs="仿宋_GB2312" w:eastAsia="仿宋_GB2312"/>
                <w:sz w:val="20"/>
              </w:rPr>
              <w:t>，</w:t>
            </w:r>
            <w:r>
              <w:rPr>
                <w:rFonts w:ascii="仿宋_GB2312" w:hAnsi="仿宋_GB2312" w:cs="仿宋_GB2312" w:eastAsia="仿宋_GB2312"/>
                <w:sz w:val="20"/>
              </w:rPr>
              <w:t>≤5 pJ@100 MHz</w:t>
            </w:r>
          </w:p>
          <w:p>
            <w:pPr>
              <w:pStyle w:val="null3"/>
            </w:pPr>
            <w:r>
              <w:rPr>
                <w:rFonts w:ascii="仿宋_GB2312" w:hAnsi="仿宋_GB2312" w:cs="仿宋_GB2312" w:eastAsia="仿宋_GB2312"/>
                <w:sz w:val="20"/>
              </w:rPr>
              <w:t>★</w:t>
            </w: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输入方式</w:t>
            </w:r>
            <w:r>
              <w:rPr>
                <w:rFonts w:ascii="仿宋_GB2312" w:hAnsi="仿宋_GB2312" w:cs="仿宋_GB2312" w:eastAsia="仿宋_GB2312"/>
                <w:sz w:val="20"/>
              </w:rPr>
              <w:t>为</w:t>
            </w:r>
            <w:r>
              <w:rPr>
                <w:rFonts w:ascii="仿宋_GB2312" w:hAnsi="仿宋_GB2312" w:cs="仿宋_GB2312" w:eastAsia="仿宋_GB2312"/>
                <w:sz w:val="20"/>
              </w:rPr>
              <w:t>光纤</w:t>
            </w:r>
            <w:r>
              <w:rPr>
                <w:rFonts w:ascii="仿宋_GB2312" w:hAnsi="仿宋_GB2312" w:cs="仿宋_GB2312" w:eastAsia="仿宋_GB2312"/>
                <w:sz w:val="20"/>
              </w:rPr>
              <w:t>输入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rPr>
              <w:t>偏振分析</w:t>
            </w:r>
            <w:r>
              <w:rPr>
                <w:rFonts w:ascii="仿宋_GB2312" w:hAnsi="仿宋_GB2312" w:cs="仿宋_GB2312" w:eastAsia="仿宋_GB2312"/>
                <w:sz w:val="20"/>
              </w:rPr>
              <w:t>控制</w:t>
            </w:r>
            <w:r>
              <w:rPr>
                <w:rFonts w:ascii="仿宋_GB2312" w:hAnsi="仿宋_GB2312" w:cs="仿宋_GB2312" w:eastAsia="仿宋_GB2312"/>
                <w:sz w:val="20"/>
              </w:rPr>
              <w:t>模块</w:t>
            </w:r>
            <w:r>
              <w:rPr>
                <w:rFonts w:ascii="仿宋_GB2312" w:hAnsi="仿宋_GB2312" w:cs="仿宋_GB2312" w:eastAsia="仿宋_GB2312"/>
                <w:sz w:val="20"/>
              </w:rPr>
              <w:t>指标要求：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19.响应波长范围1480～1620nm</w:t>
            </w:r>
          </w:p>
          <w:p>
            <w:pPr>
              <w:pStyle w:val="null3"/>
            </w:pP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.偏振采样速率</w:t>
            </w:r>
            <w:r>
              <w:rPr>
                <w:rFonts w:ascii="仿宋_GB2312" w:hAnsi="仿宋_GB2312" w:cs="仿宋_GB2312" w:eastAsia="仿宋_GB2312"/>
                <w:sz w:val="20"/>
              </w:rPr>
              <w:t>≥</w:t>
            </w:r>
            <w:r>
              <w:rPr>
                <w:rFonts w:ascii="仿宋_GB2312" w:hAnsi="仿宋_GB2312" w:cs="仿宋_GB2312" w:eastAsia="仿宋_GB2312"/>
                <w:sz w:val="20"/>
              </w:rPr>
              <w:t>4.0M</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SOP 样本/秒</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21</w:t>
            </w:r>
            <w:r>
              <w:rPr>
                <w:rFonts w:ascii="仿宋_GB2312" w:hAnsi="仿宋_GB2312" w:cs="仿宋_GB2312" w:eastAsia="仿宋_GB2312"/>
                <w:sz w:val="20"/>
              </w:rPr>
              <w:t>.模拟带宽</w:t>
            </w:r>
            <w:r>
              <w:rPr>
                <w:rFonts w:ascii="仿宋_GB2312" w:hAnsi="仿宋_GB2312" w:cs="仿宋_GB2312" w:eastAsia="仿宋_GB2312"/>
                <w:sz w:val="20"/>
              </w:rPr>
              <w:t>≥</w:t>
            </w:r>
            <w:r>
              <w:rPr>
                <w:rFonts w:ascii="仿宋_GB2312" w:hAnsi="仿宋_GB2312" w:cs="仿宋_GB2312" w:eastAsia="仿宋_GB2312"/>
                <w:sz w:val="20"/>
              </w:rPr>
              <w:t>1 MHz</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22</w:t>
            </w:r>
            <w:r>
              <w:rPr>
                <w:rFonts w:ascii="仿宋_GB2312" w:hAnsi="仿宋_GB2312" w:cs="仿宋_GB2312" w:eastAsia="仿宋_GB2312"/>
                <w:sz w:val="20"/>
              </w:rPr>
              <w:t>.偏振态SOP测量不确定度：≤±0.25rad；</w:t>
            </w:r>
          </w:p>
          <w:p>
            <w:pPr>
              <w:pStyle w:val="null3"/>
            </w:pPr>
            <w:r>
              <w:rPr>
                <w:rFonts w:ascii="仿宋_GB2312" w:hAnsi="仿宋_GB2312" w:cs="仿宋_GB2312" w:eastAsia="仿宋_GB2312"/>
                <w:sz w:val="20"/>
              </w:rPr>
              <w:t>★</w:t>
            </w:r>
            <w:r>
              <w:rPr>
                <w:rFonts w:ascii="仿宋_GB2312" w:hAnsi="仿宋_GB2312" w:cs="仿宋_GB2312" w:eastAsia="仿宋_GB2312"/>
                <w:sz w:val="20"/>
              </w:rPr>
              <w:t>23</w:t>
            </w:r>
            <w:r>
              <w:rPr>
                <w:rFonts w:ascii="仿宋_GB2312" w:hAnsi="仿宋_GB2312" w:cs="仿宋_GB2312" w:eastAsia="仿宋_GB2312"/>
                <w:sz w:val="20"/>
              </w:rPr>
              <w:t xml:space="preserve">.偏振度DOP不确定度：±0.5 %（功率 </w:t>
            </w:r>
            <w:r>
              <w:rPr>
                <w:rFonts w:ascii="仿宋_GB2312" w:hAnsi="仿宋_GB2312" w:cs="仿宋_GB2312" w:eastAsia="仿宋_GB2312"/>
                <w:sz w:val="20"/>
              </w:rPr>
              <w:t>≥-</w:t>
            </w:r>
            <w:r>
              <w:rPr>
                <w:rFonts w:ascii="仿宋_GB2312" w:hAnsi="仿宋_GB2312" w:cs="仿宋_GB2312" w:eastAsia="仿宋_GB2312"/>
                <w:sz w:val="20"/>
              </w:rPr>
              <w:t>25 dBm）；</w:t>
            </w:r>
          </w:p>
          <w:p>
            <w:pPr>
              <w:pStyle w:val="null3"/>
            </w:pP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.输入 Stokes 分辨率</w:t>
            </w:r>
            <w:r>
              <w:rPr>
                <w:rFonts w:ascii="仿宋_GB2312" w:hAnsi="仿宋_GB2312" w:cs="仿宋_GB2312" w:eastAsia="仿宋_GB2312"/>
                <w:sz w:val="20"/>
              </w:rPr>
              <w:t>≤</w:t>
            </w:r>
            <w:r>
              <w:rPr>
                <w:rFonts w:ascii="仿宋_GB2312" w:hAnsi="仿宋_GB2312" w:cs="仿宋_GB2312" w:eastAsia="仿宋_GB2312"/>
                <w:sz w:val="20"/>
              </w:rPr>
              <w:t>0.001；</w:t>
            </w:r>
          </w:p>
          <w:p>
            <w:pPr>
              <w:pStyle w:val="null3"/>
            </w:pP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.光功率测量不确定度（功率平坦度）≤±0.25dB；</w:t>
            </w:r>
          </w:p>
          <w:p>
            <w:pPr>
              <w:pStyle w:val="null3"/>
            </w:pPr>
            <w:r>
              <w:rPr>
                <w:rFonts w:ascii="仿宋_GB2312" w:hAnsi="仿宋_GB2312" w:cs="仿宋_GB2312" w:eastAsia="仿宋_GB2312"/>
                <w:sz w:val="20"/>
              </w:rPr>
              <w:t>★</w:t>
            </w:r>
            <w:r>
              <w:rPr>
                <w:rFonts w:ascii="仿宋_GB2312" w:hAnsi="仿宋_GB2312" w:cs="仿宋_GB2312" w:eastAsia="仿宋_GB2312"/>
                <w:sz w:val="20"/>
              </w:rPr>
              <w:t>26</w:t>
            </w:r>
            <w:r>
              <w:rPr>
                <w:rFonts w:ascii="仿宋_GB2312" w:hAnsi="仿宋_GB2312" w:cs="仿宋_GB2312" w:eastAsia="仿宋_GB2312"/>
                <w:sz w:val="20"/>
              </w:rPr>
              <w:t>.插损：≤1.6dB，</w:t>
            </w:r>
          </w:p>
          <w:p>
            <w:pPr>
              <w:pStyle w:val="null3"/>
            </w:pPr>
            <w:r>
              <w:rPr>
                <w:rFonts w:ascii="仿宋_GB2312" w:hAnsi="仿宋_GB2312" w:cs="仿宋_GB2312" w:eastAsia="仿宋_GB2312"/>
                <w:sz w:val="20"/>
              </w:rPr>
              <w:t>★</w:t>
            </w:r>
            <w:r>
              <w:rPr>
                <w:rFonts w:ascii="仿宋_GB2312" w:hAnsi="仿宋_GB2312" w:cs="仿宋_GB2312" w:eastAsia="仿宋_GB2312"/>
                <w:sz w:val="20"/>
              </w:rPr>
              <w:t>27</w:t>
            </w:r>
            <w:r>
              <w:rPr>
                <w:rFonts w:ascii="仿宋_GB2312" w:hAnsi="仿宋_GB2312" w:cs="仿宋_GB2312" w:eastAsia="仿宋_GB2312"/>
                <w:sz w:val="20"/>
              </w:rPr>
              <w:t>.PDL ≤ 0.3 dB；</w:t>
            </w:r>
          </w:p>
          <w:p>
            <w:pPr>
              <w:pStyle w:val="null3"/>
            </w:pPr>
            <w:r>
              <w:rPr>
                <w:rFonts w:ascii="仿宋_GB2312" w:hAnsi="仿宋_GB2312" w:cs="仿宋_GB2312" w:eastAsia="仿宋_GB2312"/>
                <w:sz w:val="20"/>
              </w:rPr>
              <w:t>★</w:t>
            </w:r>
            <w:r>
              <w:rPr>
                <w:rFonts w:ascii="仿宋_GB2312" w:hAnsi="仿宋_GB2312" w:cs="仿宋_GB2312" w:eastAsia="仿宋_GB2312"/>
                <w:sz w:val="20"/>
              </w:rPr>
              <w:t>28</w:t>
            </w:r>
            <w:r>
              <w:rPr>
                <w:rFonts w:ascii="仿宋_GB2312" w:hAnsi="仿宋_GB2312" w:cs="仿宋_GB2312" w:eastAsia="仿宋_GB2312"/>
                <w:sz w:val="20"/>
              </w:rPr>
              <w:t>.PMD ≤0.1 ps；</w:t>
            </w:r>
          </w:p>
          <w:p>
            <w:pPr>
              <w:pStyle w:val="null3"/>
            </w:pPr>
            <w:r>
              <w:rPr>
                <w:rFonts w:ascii="仿宋_GB2312" w:hAnsi="仿宋_GB2312" w:cs="仿宋_GB2312" w:eastAsia="仿宋_GB2312"/>
                <w:sz w:val="20"/>
              </w:rPr>
              <w:t>★</w:t>
            </w:r>
            <w:r>
              <w:rPr>
                <w:rFonts w:ascii="仿宋_GB2312" w:hAnsi="仿宋_GB2312" w:cs="仿宋_GB2312" w:eastAsia="仿宋_GB2312"/>
                <w:sz w:val="20"/>
              </w:rPr>
              <w:t>29</w:t>
            </w:r>
            <w:r>
              <w:rPr>
                <w:rFonts w:ascii="仿宋_GB2312" w:hAnsi="仿宋_GB2312" w:cs="仿宋_GB2312" w:eastAsia="仿宋_GB2312"/>
                <w:sz w:val="20"/>
              </w:rPr>
              <w:t>.损伤阈值≤300mW；</w:t>
            </w:r>
          </w:p>
          <w:p>
            <w:pPr>
              <w:pStyle w:val="null3"/>
            </w:pPr>
            <w:r>
              <w:rPr>
                <w:rFonts w:ascii="仿宋_GB2312" w:hAnsi="仿宋_GB2312" w:cs="仿宋_GB2312" w:eastAsia="仿宋_GB2312"/>
                <w:sz w:val="20"/>
              </w:rPr>
              <w:t>★</w:t>
            </w:r>
            <w:r>
              <w:rPr>
                <w:rFonts w:ascii="仿宋_GB2312" w:hAnsi="仿宋_GB2312" w:cs="仿宋_GB2312" w:eastAsia="仿宋_GB2312"/>
                <w:sz w:val="20"/>
              </w:rPr>
              <w:t>30.配备全光纤动态偏振控制器与压电驱动板，</w:t>
            </w:r>
            <w:r>
              <w:rPr>
                <w:rFonts w:ascii="仿宋_GB2312" w:hAnsi="仿宋_GB2312" w:cs="仿宋_GB2312" w:eastAsia="仿宋_GB2312"/>
                <w:sz w:val="20"/>
              </w:rPr>
              <w:t>偏振态</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4pi可调</w:t>
            </w:r>
            <w:r>
              <w:rPr>
                <w:rFonts w:ascii="仿宋_GB2312" w:hAnsi="仿宋_GB2312" w:cs="仿宋_GB2312" w:eastAsia="仿宋_GB2312"/>
                <w:sz w:val="20"/>
              </w:rPr>
              <w:t>且</w:t>
            </w:r>
            <w:r>
              <w:rPr>
                <w:rFonts w:ascii="仿宋_GB2312" w:hAnsi="仿宋_GB2312" w:cs="仿宋_GB2312" w:eastAsia="仿宋_GB2312"/>
                <w:sz w:val="20"/>
              </w:rPr>
              <w:t>SOP信号可直接由0～5V模拟信号控制或12位TTL数字信号控制</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31</w:t>
            </w:r>
            <w:r>
              <w:rPr>
                <w:rFonts w:ascii="仿宋_GB2312" w:hAnsi="仿宋_GB2312" w:cs="仿宋_GB2312" w:eastAsia="仿宋_GB2312"/>
                <w:sz w:val="20"/>
              </w:rPr>
              <w:t>.</w:t>
            </w:r>
            <w:r>
              <w:rPr>
                <w:rFonts w:ascii="仿宋_GB2312" w:hAnsi="仿宋_GB2312" w:cs="仿宋_GB2312" w:eastAsia="仿宋_GB2312"/>
                <w:sz w:val="20"/>
              </w:rPr>
              <w:t>输入方式为光纤输入</w:t>
            </w:r>
          </w:p>
          <w:p>
            <w:pPr>
              <w:pStyle w:val="null3"/>
            </w:pPr>
            <w:r>
              <w:rPr>
                <w:rFonts w:ascii="仿宋_GB2312" w:hAnsi="仿宋_GB2312" w:cs="仿宋_GB2312" w:eastAsia="仿宋_GB2312"/>
                <w:sz w:val="20"/>
              </w:rPr>
              <w:t>★</w:t>
            </w:r>
            <w:r>
              <w:rPr>
                <w:rFonts w:ascii="仿宋_GB2312" w:hAnsi="仿宋_GB2312" w:cs="仿宋_GB2312" w:eastAsia="仿宋_GB2312"/>
                <w:sz w:val="20"/>
              </w:rPr>
              <w:t>32</w:t>
            </w:r>
            <w:r>
              <w:rPr>
                <w:rFonts w:ascii="仿宋_GB2312" w:hAnsi="仿宋_GB2312" w:cs="仿宋_GB2312" w:eastAsia="仿宋_GB2312"/>
                <w:sz w:val="20"/>
              </w:rPr>
              <w:t>.</w:t>
            </w:r>
            <w:r>
              <w:rPr>
                <w:rFonts w:ascii="仿宋_GB2312" w:hAnsi="仿宋_GB2312" w:cs="仿宋_GB2312" w:eastAsia="仿宋_GB2312"/>
                <w:sz w:val="20"/>
              </w:rPr>
              <w:t>所有模块具有</w:t>
            </w:r>
            <w:r>
              <w:rPr>
                <w:rFonts w:ascii="仿宋_GB2312" w:hAnsi="仿宋_GB2312" w:cs="仿宋_GB2312" w:eastAsia="仿宋_GB2312"/>
                <w:sz w:val="20"/>
              </w:rPr>
              <w:t>软件控制分析系统</w:t>
            </w:r>
            <w:r>
              <w:rPr>
                <w:rFonts w:ascii="仿宋_GB2312" w:hAnsi="仿宋_GB2312" w:cs="仿宋_GB2312" w:eastAsia="仿宋_GB2312"/>
                <w:sz w:val="20"/>
              </w:rPr>
              <w:t>（提供证明材料，包括但不限于产品彩页、检测报告、功能截图等）</w:t>
            </w:r>
          </w:p>
          <w:p>
            <w:pPr>
              <w:pStyle w:val="null3"/>
            </w:pPr>
            <w:r>
              <w:rPr>
                <w:rFonts w:ascii="仿宋_GB2312" w:hAnsi="仿宋_GB2312" w:cs="仿宋_GB2312" w:eastAsia="仿宋_GB2312"/>
                <w:sz w:val="20"/>
              </w:rPr>
              <w:t>★</w:t>
            </w:r>
            <w:r>
              <w:rPr>
                <w:rFonts w:ascii="仿宋_GB2312" w:hAnsi="仿宋_GB2312" w:cs="仿宋_GB2312" w:eastAsia="仿宋_GB2312"/>
                <w:sz w:val="20"/>
              </w:rPr>
              <w:t>33</w:t>
            </w:r>
            <w:r>
              <w:rPr>
                <w:rFonts w:ascii="仿宋_GB2312" w:hAnsi="仿宋_GB2312" w:cs="仿宋_GB2312" w:eastAsia="仿宋_GB2312"/>
                <w:sz w:val="20"/>
              </w:rPr>
              <w:t>.</w:t>
            </w:r>
            <w:r>
              <w:rPr>
                <w:rFonts w:ascii="仿宋_GB2312" w:hAnsi="仿宋_GB2312" w:cs="仿宋_GB2312" w:eastAsia="仿宋_GB2312"/>
                <w:sz w:val="20"/>
              </w:rPr>
              <w:t>如设备运行需要耗材，供应商需标明后期耗材的购买渠道及价格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备注：以上参数为实质性要求，供应商任意一项负偏离，按无效响应处理。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根据采购单位通知的时间和地点，安排相关领域专家参与采购单位验收，按照验收指标逐项测试，直至达到验收要求。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1.售后服务要求：售后服务响应时间（质保期内）：即时响应（包括电话响应）；电话响应无法解决 2 小时内到达现场。修复时间 72 小时内解决；如在 72 小时内无法修复，则提供部件冗余服务或采取应急措施，提供相同产品或不低于故障产品规格档次的备用产品供采购人使用，以确保货物的正常使用。 2.安装调试要求：提供相关专业技术人员进行生产及后期安装调试工作；物资到达采购单位指定地点后，成交供应商安排相关技术人员，负责安装、调试工作。安装调试完成后，保证正常使用。免费提供一次设备移机服务。 3.培训要求：设备安装调试完成后，形成调试记录，并安排设备培训，形成相关培训记录；免费提供全面技术培训，提供全套用户操作手册及安装维护手册和各种相应说明书。成交供应商负责对采购单位进行设备操作、维修方面的现场培训工作，形成培训记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供应商应出具参加采购活动前3年内在经营活动中没有重大违法记录的书面声明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w:t>
            </w:r>
          </w:p>
        </w:tc>
        <w:tc>
          <w:tcPr>
            <w:tcW w:type="dxa" w:w="3322"/>
          </w:tcPr>
          <w:p>
            <w:pPr>
              <w:pStyle w:val="null3"/>
            </w:pPr>
            <w:r>
              <w:rPr>
                <w:rFonts w:ascii="仿宋_GB2312" w:hAnsi="仿宋_GB2312" w:cs="仿宋_GB2312" w:eastAsia="仿宋_GB2312"/>
              </w:rPr>
              <w:t>本项目不接受联合体响应</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交货时间是否满足采购文件最低要求</w:t>
            </w:r>
          </w:p>
        </w:tc>
        <w:tc>
          <w:tcPr>
            <w:tcW w:type="dxa" w:w="3322"/>
          </w:tcPr>
          <w:p>
            <w:pPr>
              <w:pStyle w:val="null3"/>
            </w:pPr>
            <w:r>
              <w:rPr>
                <w:rFonts w:ascii="仿宋_GB2312" w:hAnsi="仿宋_GB2312" w:cs="仿宋_GB2312" w:eastAsia="仿宋_GB2312"/>
              </w:rPr>
              <w:t>交货时间(期)满足采购文件要求 (合格)，交货时间(期)不满足采购文件要求(不合格)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标的数量满足采购要求（合格），响应文件标的数量不满足采购要求（不合格）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 （合格），响应文件含有采购人不能接受的附加条件的（不合格）</w:t>
            </w:r>
          </w:p>
        </w:tc>
        <w:tc>
          <w:tcPr>
            <w:tcW w:type="dxa" w:w="1661"/>
          </w:tcPr>
          <w:p>
            <w:pPr>
              <w:pStyle w:val="null3"/>
            </w:pPr>
            <w:r>
              <w:rPr>
                <w:rFonts w:ascii="仿宋_GB2312" w:hAnsi="仿宋_GB2312" w:cs="仿宋_GB2312" w:eastAsia="仿宋_GB2312"/>
              </w:rPr>
              <w:t>响应文件封面 供应商认为有必要说明的其他问题.docx 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 情形(合格)，存在法律、法规和竞争性谈判文件规定的其他无 效情形(不合格)</w:t>
            </w:r>
          </w:p>
        </w:tc>
        <w:tc>
          <w:tcPr>
            <w:tcW w:type="dxa" w:w="1661"/>
          </w:tcPr>
          <w:p>
            <w:pPr>
              <w:pStyle w:val="null3"/>
            </w:pPr>
            <w:r>
              <w:rPr>
                <w:rFonts w:ascii="仿宋_GB2312" w:hAnsi="仿宋_GB2312" w:cs="仿宋_GB2312" w:eastAsia="仿宋_GB2312"/>
              </w:rPr>
              <w:t>响应文件封面 供应商认为有必要说明的其他问题.docx 产品技术参数表.docx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