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版本号：ZMZB2025GCDX-320R20251111001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动态热机械分析仪采购项目(二次)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ZMZB2025GCDX-320R</w:t>
      </w:r>
      <w:r>
        <w:br/>
      </w:r>
      <w:r>
        <w:br/>
      </w:r>
      <w:r>
        <w:br/>
      </w:r>
    </w:p>
    <w:p>
      <w:pPr>
        <w:pStyle w:val="null3"/>
        <w:jc w:val="center"/>
        <w:outlineLvl w:val="2"/>
      </w:pPr>
      <w:r>
        <w:rPr>
          <w:rFonts w:ascii="仿宋_GB2312" w:hAnsi="仿宋_GB2312" w:cs="仿宋_GB2312" w:eastAsia="仿宋_GB2312"/>
          <w:sz w:val="28"/>
          <w:b/>
        </w:rPr>
        <w:t>西安工程大学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西安工程大学</w:t>
      </w:r>
      <w:r>
        <w:rPr>
          <w:rFonts w:ascii="仿宋_GB2312" w:hAnsi="仿宋_GB2312" w:cs="仿宋_GB2312" w:eastAsia="仿宋_GB2312"/>
        </w:rPr>
        <w:t>委托，拟对</w:t>
      </w:r>
      <w:r>
        <w:rPr>
          <w:rFonts w:ascii="仿宋_GB2312" w:hAnsi="仿宋_GB2312" w:cs="仿宋_GB2312" w:eastAsia="仿宋_GB2312"/>
        </w:rPr>
        <w:t>动态热机械分析仪采购项目(二次)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ZMZB2025GCDX-320R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动态热机械分析仪采购项目(二次)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动态热机械分析仪采购项目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4、社会保障资金缴纳证明：提供2025年1月（含1月）以后任意一个月的社会保障资金缴存单据或社保机构开具的社会保险参保缴费情况证明。依法不需要缴纳社会保障资金的供应商应提供相关文件证明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西安工程大学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金花南路19号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029-81369288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说明：（1）供应商中标后凭中标通知书向采购人缴纳合同金额的10%作为履约保证金； （2）履约保证金应使用人民币，可选择使用银行转账、支票、汇票、本票或者金融机构、担保机构出具的保函等非现金形式缴纳或提交； （3）采购人验收合格后，供应商提出书面申请，采购人将履约保证金（无息）退还供应商。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改革委员会办公厅颁发的《关于招标代理服务收费有关问题的通知》（发改办价格[2003]857号）的标准计算。 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西安工程大学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西安工程大学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西安工程大学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动态热机械分析仪采购项目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动态热机械分析仪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标的名称：动态热机械分析仪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 测温范围：-170℃～600℃</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动态力频率范围：0.01～300Hz</w:t>
            </w:r>
          </w:p>
          <w:p>
            <w:pPr>
              <w:pStyle w:val="null3"/>
              <w:jc w:val="both"/>
            </w:pPr>
            <w:r>
              <w:rPr>
                <w:rFonts w:ascii="仿宋_GB2312" w:hAnsi="仿宋_GB2312" w:cs="仿宋_GB2312" w:eastAsia="仿宋_GB2312"/>
                <w:sz w:val="21"/>
              </w:rPr>
              <w:t>3.施力范围：±10N～±40N</w:t>
            </w:r>
          </w:p>
          <w:p>
            <w:pPr>
              <w:pStyle w:val="null3"/>
              <w:jc w:val="both"/>
            </w:pPr>
            <w:r>
              <w:rPr>
                <w:rFonts w:ascii="仿宋_GB2312" w:hAnsi="仿宋_GB2312" w:cs="仿宋_GB2312" w:eastAsia="仿宋_GB2312"/>
                <w:sz w:val="21"/>
              </w:rPr>
              <w:t>4.温度分辨率：≤±0.1℃</w:t>
            </w:r>
          </w:p>
          <w:p>
            <w:pPr>
              <w:pStyle w:val="null3"/>
              <w:jc w:val="both"/>
            </w:pPr>
            <w:r>
              <w:rPr>
                <w:rFonts w:ascii="仿宋_GB2312" w:hAnsi="仿宋_GB2312" w:cs="仿宋_GB2312" w:eastAsia="仿宋_GB2312"/>
                <w:sz w:val="21"/>
              </w:rPr>
              <w:t>5.温度准确度：≤±1℃</w:t>
            </w:r>
          </w:p>
          <w:p>
            <w:pPr>
              <w:pStyle w:val="null3"/>
              <w:jc w:val="both"/>
            </w:pPr>
            <w:r>
              <w:rPr>
                <w:rFonts w:ascii="仿宋_GB2312" w:hAnsi="仿宋_GB2312" w:cs="仿宋_GB2312" w:eastAsia="仿宋_GB2312"/>
                <w:sz w:val="21"/>
              </w:rPr>
              <w:t>6.升温速率： 0.1℃</w:t>
            </w:r>
            <w:r>
              <w:rPr>
                <w:rFonts w:ascii="仿宋_GB2312" w:hAnsi="仿宋_GB2312" w:cs="仿宋_GB2312" w:eastAsia="仿宋_GB2312"/>
                <w:sz w:val="21"/>
              </w:rPr>
              <w:t>/min</w:t>
            </w:r>
            <w:r>
              <w:rPr>
                <w:rFonts w:ascii="仿宋_GB2312" w:hAnsi="仿宋_GB2312" w:cs="仿宋_GB2312" w:eastAsia="仿宋_GB2312"/>
                <w:sz w:val="21"/>
              </w:rPr>
              <w:t>～20℃/min</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.力值分辨率：≤±0.25mN</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▲.频率准确度：±0.001Hz</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.频率模式：对数和线性扫描，多频率模式</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.动态位移范围：±1mm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.位移分辨率：≤2nm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.Tanδ范围：0.001～50</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.Tanδ分辨率：≤0.0001</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.刚度范围：50N/m～105N/m</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▲.刚度精度：≤0.5%</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▲.炉体支持垂直向上、垂直向下、水平三个方向测试</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.夹具模式：三点弯曲、单/双悬臂、拉伸、剪切、压缩</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▲.特殊夹具：粉末、液体、颗粒样品夹具</w:t>
            </w:r>
          </w:p>
          <w:p>
            <w:pPr>
              <w:pStyle w:val="null3"/>
              <w:jc w:val="both"/>
            </w:pPr>
            <w:r>
              <w:rPr>
                <w:rFonts w:ascii="仿宋_GB2312" w:hAnsi="仿宋_GB2312" w:cs="仿宋_GB2312" w:eastAsia="仿宋_GB2312"/>
                <w:sz w:val="21"/>
              </w:rPr>
              <w:t>19</w:t>
            </w:r>
            <w:r>
              <w:rPr>
                <w:rFonts w:ascii="仿宋_GB2312" w:hAnsi="仿宋_GB2312" w:cs="仿宋_GB2312" w:eastAsia="仿宋_GB2312"/>
                <w:sz w:val="21"/>
              </w:rPr>
              <w:t>.适用样品：薄膜、纤维、长条，棒状、液体、粉末等</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▲.具有TMA测量模式，适合测试模式：拉伸（①应变速率模式②应力松弛模式、③恒定应力模式（备注：形状记忆）剪切、压缩、三点弯曲、单双悬臂；另外所有测量模式均可实现TMA测量模式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★.具有预应力控制模式：固定力、自动和针对软样品的自动拉伸模式</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.样品长度：≥50mm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.操作软件：热分析操作软件，用于DMA的实验测试和数据分析，包含有N级动力学软件功能、纯度分析软件功能。</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★.扩展功能：联用湿度控制分析（专用湿度发生器控制）及液体浴池浸泡模式（专用恒温浴槽控制），并可灵活切换。可增加多段程控和一键切换功能，实现测试自动化。</w:t>
            </w:r>
          </w:p>
          <w:p>
            <w:pPr>
              <w:pStyle w:val="null3"/>
              <w:jc w:val="both"/>
            </w:pPr>
            <w:r>
              <w:rPr>
                <w:rFonts w:ascii="仿宋_GB2312" w:hAnsi="仿宋_GB2312" w:cs="仿宋_GB2312" w:eastAsia="仿宋_GB2312"/>
                <w:sz w:val="21"/>
              </w:rPr>
              <w:t>配置要求</w:t>
            </w:r>
          </w:p>
          <w:p>
            <w:pPr>
              <w:pStyle w:val="null3"/>
              <w:jc w:val="both"/>
            </w:pPr>
            <w:r>
              <w:rPr>
                <w:rFonts w:ascii="仿宋_GB2312" w:hAnsi="仿宋_GB2312" w:cs="仿宋_GB2312" w:eastAsia="仿宋_GB2312"/>
                <w:sz w:val="21"/>
              </w:rPr>
              <w:t>1、DMA仪器主机1台</w:t>
            </w:r>
          </w:p>
          <w:p>
            <w:pPr>
              <w:pStyle w:val="null3"/>
              <w:jc w:val="both"/>
            </w:pPr>
            <w:r>
              <w:rPr>
                <w:rFonts w:ascii="仿宋_GB2312" w:hAnsi="仿宋_GB2312" w:cs="仿宋_GB2312" w:eastAsia="仿宋_GB2312"/>
                <w:sz w:val="21"/>
              </w:rPr>
              <w:t>2、操作软件1套</w:t>
            </w:r>
          </w:p>
          <w:p>
            <w:pPr>
              <w:pStyle w:val="null3"/>
              <w:jc w:val="both"/>
            </w:pPr>
            <w:r>
              <w:rPr>
                <w:rFonts w:ascii="仿宋_GB2312" w:hAnsi="仿宋_GB2312" w:cs="仿宋_GB2312" w:eastAsia="仿宋_GB2312"/>
                <w:sz w:val="21"/>
              </w:rPr>
              <w:t>3、样品夹具：≥三点弯曲、单/双悬臂、拉伸、剪切，压缩夹具六种</w:t>
            </w:r>
          </w:p>
          <w:p>
            <w:pPr>
              <w:pStyle w:val="null3"/>
              <w:jc w:val="both"/>
            </w:pPr>
            <w:r>
              <w:rPr>
                <w:rFonts w:ascii="仿宋_GB2312" w:hAnsi="仿宋_GB2312" w:cs="仿宋_GB2312" w:eastAsia="仿宋_GB2312"/>
                <w:sz w:val="21"/>
              </w:rPr>
              <w:t>4、标准样品1套：包括温度标样（金属In标样及水标样）、位移校准标样（标准块）、力校准标样（标准砝码）、模量验证标样（提供带模量证书的硅片）</w:t>
            </w:r>
          </w:p>
          <w:p>
            <w:pPr>
              <w:pStyle w:val="null3"/>
              <w:jc w:val="both"/>
            </w:pPr>
            <w:r>
              <w:rPr>
                <w:rFonts w:ascii="仿宋_GB2312" w:hAnsi="仿宋_GB2312" w:cs="仿宋_GB2312" w:eastAsia="仿宋_GB2312"/>
                <w:sz w:val="21"/>
              </w:rPr>
              <w:t>5、特殊夹具：颗粒、粉末、液体夹具各10件</w:t>
            </w:r>
          </w:p>
          <w:p>
            <w:pPr>
              <w:pStyle w:val="null3"/>
              <w:jc w:val="both"/>
            </w:pPr>
            <w:r>
              <w:rPr>
                <w:rFonts w:ascii="仿宋_GB2312" w:hAnsi="仿宋_GB2312" w:cs="仿宋_GB2312" w:eastAsia="仿宋_GB2312"/>
                <w:sz w:val="21"/>
              </w:rPr>
              <w:t>6、全自动液氮冷却系统一套，≥50L自增压液氮罐</w:t>
            </w:r>
          </w:p>
          <w:p>
            <w:pPr>
              <w:pStyle w:val="null3"/>
              <w:jc w:val="both"/>
            </w:pPr>
            <w:r>
              <w:rPr>
                <w:rFonts w:ascii="仿宋_GB2312" w:hAnsi="仿宋_GB2312" w:cs="仿宋_GB2312" w:eastAsia="仿宋_GB2312"/>
                <w:sz w:val="21"/>
              </w:rPr>
              <w:t>7、随机工具：专用扳手及螺丝刀、镊子、工具箱</w:t>
            </w:r>
          </w:p>
          <w:p>
            <w:pPr>
              <w:pStyle w:val="null3"/>
              <w:jc w:val="both"/>
            </w:pPr>
            <w:r>
              <w:rPr>
                <w:rFonts w:ascii="仿宋_GB2312" w:hAnsi="仿宋_GB2312" w:cs="仿宋_GB2312" w:eastAsia="仿宋_GB2312"/>
                <w:sz w:val="21"/>
              </w:rPr>
              <w:t>8、工作站：</w:t>
            </w:r>
            <w:r>
              <w:rPr>
                <w:rFonts w:ascii="仿宋_GB2312" w:hAnsi="仿宋_GB2312" w:cs="仿宋_GB2312" w:eastAsia="仿宋_GB2312"/>
                <w:sz w:val="21"/>
              </w:rPr>
              <w:t>不低于以下要求：</w:t>
            </w:r>
            <w:r>
              <w:rPr>
                <w:rFonts w:ascii="仿宋_GB2312" w:hAnsi="仿宋_GB2312" w:cs="仿宋_GB2312" w:eastAsia="仿宋_GB2312"/>
                <w:sz w:val="21"/>
              </w:rPr>
              <w:t>Core i8 /16G 1T 硬盘/27 寸显示器</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百万分之一天平1台</w:t>
            </w:r>
            <w:r>
              <w:rPr>
                <w:rFonts w:ascii="仿宋_GB2312" w:hAnsi="仿宋_GB2312" w:cs="仿宋_GB2312" w:eastAsia="仿宋_GB2312"/>
                <w:sz w:val="21"/>
              </w:rPr>
              <w:t>；</w:t>
            </w:r>
            <w:r>
              <w:rPr>
                <w:rFonts w:ascii="仿宋_GB2312" w:hAnsi="仿宋_GB2312" w:cs="仿宋_GB2312" w:eastAsia="仿宋_GB2312"/>
                <w:sz w:val="21"/>
              </w:rPr>
              <w:t>最大称量</w:t>
            </w:r>
            <w:r>
              <w:rPr>
                <w:rFonts w:ascii="仿宋_GB2312" w:hAnsi="仿宋_GB2312" w:cs="仿宋_GB2312" w:eastAsia="仿宋_GB2312"/>
                <w:sz w:val="21"/>
              </w:rPr>
              <w:t>3.2g；</w:t>
            </w:r>
            <w:r>
              <w:rPr>
                <w:rFonts w:ascii="仿宋_GB2312" w:hAnsi="仿宋_GB2312" w:cs="仿宋_GB2312" w:eastAsia="仿宋_GB2312"/>
                <w:sz w:val="21"/>
              </w:rPr>
              <w:t>最小可读性</w:t>
            </w:r>
            <w:r>
              <w:rPr>
                <w:rFonts w:ascii="仿宋_GB2312" w:hAnsi="仿宋_GB2312" w:cs="仿宋_GB2312" w:eastAsia="仿宋_GB2312"/>
                <w:sz w:val="21"/>
              </w:rPr>
              <w:t>1</w:t>
            </w:r>
            <w:r>
              <w:rPr>
                <w:rFonts w:ascii="仿宋_GB2312" w:hAnsi="仿宋_GB2312" w:cs="仿宋_GB2312" w:eastAsia="仿宋_GB2312"/>
                <w:sz w:val="21"/>
              </w:rPr>
              <w:t>μ</w:t>
            </w:r>
            <w:r>
              <w:rPr>
                <w:rFonts w:ascii="仿宋_GB2312" w:hAnsi="仿宋_GB2312" w:cs="仿宋_GB2312" w:eastAsia="仿宋_GB2312"/>
                <w:sz w:val="21"/>
              </w:rPr>
              <w:t>g；</w:t>
            </w:r>
            <w:r>
              <w:rPr>
                <w:rFonts w:ascii="仿宋_GB2312" w:hAnsi="仿宋_GB2312" w:cs="仿宋_GB2312" w:eastAsia="仿宋_GB2312"/>
                <w:sz w:val="21"/>
              </w:rPr>
              <w:t>典型重复性SD≤0.0008 mg (5%载荷)</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color w:val="000000"/>
              </w:rPr>
              <w:t>标记</w:t>
            </w:r>
            <w:r>
              <w:rPr>
                <w:rFonts w:ascii="仿宋_GB2312" w:hAnsi="仿宋_GB2312" w:cs="仿宋_GB2312" w:eastAsia="仿宋_GB2312"/>
                <w:sz w:val="21"/>
                <w:b/>
                <w:color w:val="000000"/>
              </w:rPr>
              <w:t>★和▲参数必须提供佐证材料（包括但不限于产品彩页、检测报告、功能截图、盖章的说明书等），未提供佐证材料或提供的佐证材料低于招标要求时按负偏离处理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交货期：进口设备：合同签订之日起90日历天内完成交付、安装及调试，国产设备：合同签订之日起45日历天内完成交付、安装及调试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西安工程大学金花校区2号楼203室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产设备：合同签订前，中标人须在采购人指定的银行开立一般结算账户。合同签订后，采购人通过银行电汇付给中标人合同总价100%的预付款。设备到货、安装、调试、运行并经验收合格后、最终结算时，中标人须向采购人出具合同总价款的增值税专用发票。进口设备：合同生效后，由甲方通过指定的进口业务代理公司向乙方开出全额信用证（100%信用证），信用证100%凭学校出具的正式验收报告解付。 最终结算时，乙方应通过甲方指定的进口业务代理公司向甲方开具符合甲方要求的合同总价款发票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质保期：验收合格通过之日起1年（1年厂家标准质保）。售后服务响应时间（质保期内）：售后服务响应不得超出 12 小时，制定解决方案， 3 个工作日内派人到现场维修。其他售后要求：厂家免费安装及培训。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1、培训内容及要求：设备使用培训。 2、安装要求：供应商负责提供从设备安装位置至最近配电箱的所有线缆、管路、插座及附属材料。所有电气材料及安装施工均须符合中华人民共和国现行有效的《GB 50303 建筑电气工程施工质量验收规范》及相关国家、行业标准，确保供电安全、可靠，满足设备满载运行需求。 本项目为交钥匙项目，供应商应为设备提供合规、安全、可靠的最终供电解决方案（包括但不限于敷设线缆、安装管路、插座及断路器等），投标报价应包含满足设备最终正常运行所需的一切费用。 3、其他：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 30号合力紫郡B座21层，若电子投标文件与纸质投标文件不一致的，以电子投标文件为准。 投标保证金以电子保函形式递交需在开标前给shanxizhuoming_zb@163.com发一份扫描件。4.本项目为非专门面向中小企业采购。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提供2025年1月（含1月）以后任意一个月的依法缴纳税收的相关凭据（时间以税款所属时期为准），凭据应有税务机关或代收机关的公章或业务专用章。依法免税或无须缴纳税收的供应商，应提供相应证明文件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提供2025年1月（含1月）以后任意一个月的社会保障资金缴存单据或社保机构开具的社会保险参保缴费情况证明。依法不需要缴纳社会保障资金的供应商应提供相关文件证明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w:t>
            </w:r>
          </w:p>
        </w:tc>
        <w:tc>
          <w:tcPr>
            <w:tcW w:type="dxa" w:w="1661"/>
          </w:tcPr>
          <w:p>
            <w:pPr>
              <w:pStyle w:val="null3"/>
            </w:pPr>
            <w:r>
              <w:rPr>
                <w:rFonts w:ascii="仿宋_GB2312" w:hAnsi="仿宋_GB2312" w:cs="仿宋_GB2312" w:eastAsia="仿宋_GB2312"/>
              </w:rPr>
              <w:t>供应商认为有必要说明的其他问题.docx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投标文件的交货期、质保期</w:t>
            </w:r>
          </w:p>
        </w:tc>
        <w:tc>
          <w:tcPr>
            <w:tcW w:type="dxa" w:w="3322"/>
          </w:tcPr>
          <w:p>
            <w:pPr>
              <w:pStyle w:val="null3"/>
            </w:pPr>
            <w:r>
              <w:rPr>
                <w:rFonts w:ascii="仿宋_GB2312" w:hAnsi="仿宋_GB2312" w:cs="仿宋_GB2312" w:eastAsia="仿宋_GB2312"/>
              </w:rPr>
              <w:t>投标文件的交货期、质保期不满足招标文件要求 不合格 投标文件的交货期、质保期满足招标文件要求 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 不合格 投标文件没有采购人不能接受的附加条件的 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 合 格，存在法律、法规和招标文件规定的其他无效情形 不合格</w:t>
            </w:r>
          </w:p>
        </w:tc>
        <w:tc>
          <w:tcPr>
            <w:tcW w:type="dxa" w:w="1661"/>
          </w:tcPr>
          <w:p>
            <w:pPr>
              <w:pStyle w:val="null3"/>
            </w:pPr>
            <w:r>
              <w:rPr>
                <w:rFonts w:ascii="仿宋_GB2312" w:hAnsi="仿宋_GB2312" w:cs="仿宋_GB2312" w:eastAsia="仿宋_GB2312"/>
              </w:rPr>
              <w:t>供应商认为有必要说明的其他问题.docx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 基本分（38分）：完全符合、响应招标文件要求，没有负偏离计38分，“★”参数不允许负偏离，任意一项负偏离按无效标处理。“▲”参数每负偏离一项扣2分，未带标识参数每负偏离一项扣1分，扣完为止。 备注：标记★和▲参数必须提供佐证材料（包括但不限于产品彩页、检测报告、功能截图、盖章的说明书等），未提供佐证材料或提供的佐证材料低于招标要求时按负偏离处理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6分；每有一项未提供扣1.5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提供供应商2022年9月1日至今同类项目合同（以合同签订日期为准），每提供1个得1分，最高得5分。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 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详见附件：合同参考文本.docx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