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版本号：ZMZB2025SKD-29820251111001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全二维气相色谱-质谱联用仪采购项目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ZMZB2025SKD-298</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全二维气相色谱-质谱联用仪采购项目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ZMZB2025SKD-298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全二维气相色谱-质谱联用仪采购项目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全二维气相色谱-质谱联用仪采购项目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进口授权：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9、本项目不接受联合体投标：非联合体投标声明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说明：中标人在签订合同前须向采购人交纳中标金额的5%做为履约保证金，待验收合格后，无异议，供货商提交申请，使用部门签字确认后一次性无息退还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代理服务费收费标准：(1)30万元(不含)以上的项目收费参考国家计委计价格[2002]1980号文规定之收费标准下浮35%收取。 (2)30万元(含)以下的项目，按每个项目3000元包干收取(若为多标段项目，按照实际中标金额比例分别确定各标段中标服务费)。 由中标/成交单位一次性支付给代理机构。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联系电话：029-81875979</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全二维气相色谱-质谱联用仪采购项目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2,050,000.00</w:t>
      </w:r>
    </w:p>
    <w:p>
      <w:pPr>
        <w:pStyle w:val="null3"/>
      </w:pPr>
      <w:r>
        <w:rPr>
          <w:rFonts w:ascii="仿宋_GB2312" w:hAnsi="仿宋_GB2312" w:cs="仿宋_GB2312" w:eastAsia="仿宋_GB2312"/>
        </w:rPr>
        <w:t>采购包最高限价（元）: 2,050,000.00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全二维气相色谱-质谱联用仪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标的名称：全二维气相色谱-质谱联用仪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全二维气相色谱-质谱联用仪  1台</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技术指标：</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.1整体性能：</w:t>
            </w:r>
            <w:r>
              <w:rPr>
                <w:rFonts w:ascii="仿宋_GB2312" w:hAnsi="仿宋_GB2312" w:cs="仿宋_GB2312" w:eastAsia="仿宋_GB2312"/>
                <w:sz w:val="21"/>
                <w:color w:val="000000"/>
              </w:rPr>
              <w:t>保留时间重现性≤0.008%，峰面积重现性≤0.5% RSD</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.2具备远程智能访问功能，可从任何浏览器（平板电脑、笔记本电脑或台式机）进行访问，无需色谱工作站即可编辑 GC 方法和序列</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.3触摸屏用户界面：采用包含玻璃界面/覆盖层的电容式触摸屏技术，分辨率不少于480 × 272 像素，无需手写笔来执行触摸屏功能，且任何时候都不需要校准</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至少可以同时安装≥ 4个检测器，且均由软件EPC控制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.5电子气路模块（EPC）具有防尘防污染设计，具有温度和气压补偿功能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.6支持早期维护反馈功能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.7柱温箱</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.7.1温度范围：室温以上5℃~450℃，温度设置分辨率：</w:t>
            </w:r>
            <w:r>
              <w:rPr>
                <w:rFonts w:ascii="仿宋_GB2312" w:hAnsi="仿宋_GB2312" w:cs="仿宋_GB2312" w:eastAsia="仿宋_GB2312"/>
                <w:sz w:val="21"/>
                <w:color w:val="000000"/>
              </w:rPr>
              <w:t>≤</w:t>
            </w:r>
            <w:r>
              <w:rPr>
                <w:rFonts w:ascii="仿宋_GB2312" w:hAnsi="仿宋_GB2312" w:cs="仿宋_GB2312" w:eastAsia="仿宋_GB2312"/>
                <w:sz w:val="21"/>
              </w:rPr>
              <w:t>0.01℃</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.7.2最大升温速度≥120 </w:t>
            </w:r>
            <w:r>
              <w:rPr>
                <w:rFonts w:ascii="仿宋_GB2312" w:hAnsi="仿宋_GB2312" w:cs="仿宋_GB2312" w:eastAsia="仿宋_GB2312"/>
                <w:sz w:val="21"/>
              </w:rPr>
              <w:t>℃</w:t>
            </w:r>
            <w:r>
              <w:rPr>
                <w:rFonts w:ascii="仿宋_GB2312" w:hAnsi="仿宋_GB2312" w:cs="仿宋_GB2312" w:eastAsia="仿宋_GB2312"/>
                <w:sz w:val="21"/>
                <w:color w:val="000000"/>
              </w:rPr>
              <w:t>/min；温度稳定性；当环境温度变化1</w:t>
            </w:r>
            <w:r>
              <w:rPr>
                <w:rFonts w:ascii="仿宋_GB2312" w:hAnsi="仿宋_GB2312" w:cs="仿宋_GB2312" w:eastAsia="仿宋_GB2312"/>
                <w:sz w:val="21"/>
              </w:rPr>
              <w:t>℃</w:t>
            </w:r>
            <w:r>
              <w:rPr>
                <w:rFonts w:ascii="仿宋_GB2312" w:hAnsi="仿宋_GB2312" w:cs="仿宋_GB2312" w:eastAsia="仿宋_GB2312"/>
                <w:sz w:val="21"/>
                <w:color w:val="000000"/>
              </w:rPr>
              <w:t>时，≤0.01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.7.3程序升温：不少于20阶21平台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.7.4可以至少安装8个EPC 模块，提供18 个通道的EPC 控制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.8分流/不分流毛细管柱进样口</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.8.1可编程设定压力、流速、分流比</w:t>
            </w:r>
          </w:p>
          <w:p>
            <w:pPr>
              <w:pStyle w:val="null3"/>
              <w:jc w:val="both"/>
            </w:pPr>
            <w:r>
              <w:rPr>
                <w:rFonts w:ascii="仿宋_GB2312" w:hAnsi="仿宋_GB2312" w:cs="仿宋_GB2312" w:eastAsia="仿宋_GB2312"/>
                <w:sz w:val="21"/>
              </w:rPr>
              <w:t>1.8.2</w:t>
            </w:r>
            <w:r>
              <w:rPr>
                <w:rFonts w:ascii="仿宋_GB2312" w:hAnsi="仿宋_GB2312" w:cs="仿宋_GB2312" w:eastAsia="仿宋_GB2312"/>
                <w:sz w:val="21"/>
              </w:rPr>
              <w:t>快速扳转系统，更换衬管无需要拆卸螺丝</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.8.3最高使用温度≥400℃</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.8.4压力设定范围：0-100psi，压力设定精度：≤0.001psi</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.8.5▲最大分流比：≥ 12000:1</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.9自动进样器单元</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.9.1具备液体进样、顶空进样、箭型固相微萃取自动进样模块</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.9.2支架导轨长度：≥120cm；液体进样模块进样量范围：0.1-10μL</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.9.3支持液体和顶空SPME两种萃取模式</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.9.4液体进样模块样品位数：≥150位；</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.9.5顶空进样模块样品位数：≥40位；</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9.6箭型固相微萃取模块样品位数：≥40位</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.9.7交叉污染：≤0.01%</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.10全二维系统附件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.10.1▲热调制器</w:t>
            </w:r>
          </w:p>
          <w:p>
            <w:pPr>
              <w:pStyle w:val="null3"/>
              <w:jc w:val="left"/>
            </w:pPr>
            <w:r>
              <w:rPr>
                <w:rFonts w:ascii="仿宋_GB2312" w:hAnsi="仿宋_GB2312" w:cs="仿宋_GB2312" w:eastAsia="仿宋_GB2312"/>
                <w:sz w:val="21"/>
              </w:rPr>
              <w:t>热调制与冷源：具备两级热调制能力（或等效技术路线，能实现相同或更优的捕集与再进样性能）；采用固态热电制冷或等效低温实现方式，常规运行无需外接液氮/制冷剂/压缩制冷机，或提供等效免耗材方案。</w:t>
            </w:r>
          </w:p>
          <w:p>
            <w:pPr>
              <w:pStyle w:val="null3"/>
              <w:jc w:val="left"/>
            </w:pPr>
            <w:r>
              <w:rPr>
                <w:rFonts w:ascii="仿宋_GB2312" w:hAnsi="仿宋_GB2312" w:cs="仿宋_GB2312" w:eastAsia="仿宋_GB2312"/>
                <w:sz w:val="21"/>
              </w:rPr>
              <w:t>冷区温控：设定温度范围最低≤−50°C、最高≥9°C，支持多阶程序温度控制（含升/降）。</w:t>
            </w:r>
          </w:p>
          <w:p>
            <w:pPr>
              <w:pStyle w:val="null3"/>
              <w:jc w:val="left"/>
            </w:pPr>
            <w:r>
              <w:rPr>
                <w:rFonts w:ascii="仿宋_GB2312" w:hAnsi="仿宋_GB2312" w:cs="仿宋_GB2312" w:eastAsia="仿宋_GB2312"/>
                <w:sz w:val="21"/>
              </w:rPr>
              <w:t>热区温控：设定温度范围50~320°C或更宽，支持多阶程序温度控制（含升/降）。</w:t>
            </w:r>
          </w:p>
          <w:p>
            <w:pPr>
              <w:pStyle w:val="null3"/>
              <w:jc w:val="left"/>
            </w:pPr>
            <w:r>
              <w:rPr>
                <w:rFonts w:ascii="仿宋_GB2312" w:hAnsi="仿宋_GB2312" w:cs="仿宋_GB2312" w:eastAsia="仿宋_GB2312"/>
                <w:sz w:val="21"/>
              </w:rPr>
              <w:t>调制周期：数字可调，最小可设≤2.0 s（或更短）。</w:t>
            </w:r>
          </w:p>
          <w:p>
            <w:pPr>
              <w:pStyle w:val="null3"/>
              <w:jc w:val="left"/>
            </w:pPr>
            <w:r>
              <w:rPr>
                <w:rFonts w:ascii="仿宋_GB2312" w:hAnsi="仿宋_GB2312" w:cs="仿宋_GB2312" w:eastAsia="仿宋_GB2312"/>
                <w:sz w:val="21"/>
              </w:rPr>
              <w:t>调制能力范围：在默认或等效调制柱配置下，至少覆盖n-C7至n-C40；在冷区≤−50°C条件下，对n-C7不发生穿透。</w:t>
            </w:r>
          </w:p>
          <w:p>
            <w:pPr>
              <w:pStyle w:val="null3"/>
              <w:jc w:val="left"/>
            </w:pPr>
            <w:r>
              <w:rPr>
                <w:rFonts w:ascii="仿宋_GB2312" w:hAnsi="仿宋_GB2312" w:cs="仿宋_GB2312" w:eastAsia="仿宋_GB2312"/>
                <w:sz w:val="21"/>
              </w:rPr>
              <w:t>数据处理软件：提供通用性GC×GC数据处理软件（中英文），独立客户端授权不少于5个（或等效总授权能力）；可安装于≥5台不同终端；可读取主流GC/GC-MS 数据格式，支持2D/3D可视化、自动识别调制周期、自动峰识别、切片合并与积分等功能。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.10.2全二维色谱数据处理软件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.10.2.1支持中英文（跟随电脑系统）</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.10.2.2多种可视化一维及二维色谱图</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.10.2.3自动识别调制周期</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.10.2.4智能峰识别、合并及积分定量</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.10.2.5用户自定义的族类建立与分析</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.10.2.6NIST库搜索和保留指数辅助定性</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.10.2.7自定义选择离子显示和分析</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.10.2.8支持高分辨质谱数据处理</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.10.2.9批量定量计算方法（归一化、内标、外标等）</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.10.2.10多样本批处理峰对齐、差异和统计分析等</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.11质谱检测器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.11.1▲质量数范围：1-10</w:t>
            </w:r>
            <w:r>
              <w:rPr>
                <w:rFonts w:ascii="仿宋_GB2312" w:hAnsi="仿宋_GB2312" w:cs="仿宋_GB2312" w:eastAsia="仿宋_GB2312"/>
                <w:sz w:val="21"/>
              </w:rPr>
              <w:t>5</w:t>
            </w:r>
            <w:r>
              <w:rPr>
                <w:rFonts w:ascii="仿宋_GB2312" w:hAnsi="仿宋_GB2312" w:cs="仿宋_GB2312" w:eastAsia="仿宋_GB2312"/>
                <w:sz w:val="21"/>
              </w:rPr>
              <w:t xml:space="preserve">0 m/z，增量≤0.1amu。需提供软件设置截图             </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.11.2仪器检测限指标及灵敏度：</w:t>
            </w:r>
          </w:p>
          <w:p>
            <w:pPr>
              <w:pStyle w:val="null3"/>
              <w:jc w:val="left"/>
            </w:pPr>
            <w:r>
              <w:rPr>
                <w:rFonts w:ascii="仿宋_GB2312" w:hAnsi="仿宋_GB2312" w:cs="仿宋_GB2312" w:eastAsia="仿宋_GB2312"/>
                <w:sz w:val="21"/>
              </w:rPr>
              <w:t>IDL: ≤10 fg ，100fg 八氟萘 连续8次进样，99%置信水平下，30m色谱柱分析计算得到</w:t>
            </w:r>
          </w:p>
          <w:p>
            <w:pPr>
              <w:pStyle w:val="null3"/>
              <w:jc w:val="left"/>
            </w:pPr>
            <w:r>
              <w:rPr>
                <w:rFonts w:ascii="仿宋_GB2312" w:hAnsi="仿宋_GB2312" w:cs="仿宋_GB2312" w:eastAsia="仿宋_GB2312"/>
                <w:sz w:val="21"/>
              </w:rPr>
              <w:t>信噪比（S/N）（全扫描模式下）：≥ 1500:1，1pg 八氟萘，30m色谱柱进样分析计算得到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.11.3谱图准确度：≥99.0%</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.11.4扫描速率：≥20000 u/s</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.11.5质量稳定性：≤ 0.10 u/48 小时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.11.6▲灯丝电流：≥300uA</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.11.7▲离子化能量：≥240eV 。</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 xml:space="preserve">.11.8离子源：配置EI源，独立控温，最高温度≥350˚C  </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.11.9▲四极杆质量分析器：主四级杆能独立温控，最高温度≥180˚C，不接受预四级杆加热。</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.11.10▲真空系统；泵抽速≥250L/s</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.11.11气质接口温度: 独立控温，最高温度≥350˚C</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.12数据处理系统</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.12.1软件：气质联用软件至少包含中文、英文两种语言</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.12.2通用谱库:最新款 NIST谱库(不少于30万张)</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12.3扫描功能:全扫描（Full Scan）、选择离子扫描模式（SIM）、全扫描和选择离子同时扫描（SIM/SCAN）、轮廓图扫描（Profile）</w:t>
            </w:r>
          </w:p>
          <w:p>
            <w:pPr>
              <w:pStyle w:val="null3"/>
              <w:jc w:val="both"/>
            </w:pPr>
            <w:r>
              <w:rPr>
                <w:rFonts w:ascii="仿宋_GB2312" w:hAnsi="仿宋_GB2312" w:cs="仿宋_GB2312" w:eastAsia="仿宋_GB2312"/>
                <w:sz w:val="21"/>
              </w:rPr>
              <w:t>2.配置要求：</w:t>
            </w:r>
          </w:p>
          <w:p>
            <w:pPr>
              <w:pStyle w:val="null3"/>
              <w:jc w:val="left"/>
            </w:pPr>
            <w:r>
              <w:rPr>
                <w:rFonts w:ascii="仿宋_GB2312" w:hAnsi="仿宋_GB2312" w:cs="仿宋_GB2312" w:eastAsia="仿宋_GB2312"/>
                <w:sz w:val="21"/>
              </w:rPr>
              <w:t>2..1气相色谱主机1台</w:t>
            </w:r>
          </w:p>
          <w:p>
            <w:pPr>
              <w:pStyle w:val="null3"/>
              <w:jc w:val="left"/>
            </w:pPr>
            <w:r>
              <w:rPr>
                <w:rFonts w:ascii="仿宋_GB2312" w:hAnsi="仿宋_GB2312" w:cs="仿宋_GB2312" w:eastAsia="仿宋_GB2312"/>
                <w:sz w:val="21"/>
              </w:rPr>
              <w:t>2..2配置EI源的四极杆质谱仪1台</w:t>
            </w:r>
          </w:p>
          <w:p>
            <w:pPr>
              <w:pStyle w:val="null3"/>
              <w:jc w:val="left"/>
            </w:pPr>
            <w:r>
              <w:rPr>
                <w:rFonts w:ascii="仿宋_GB2312" w:hAnsi="仿宋_GB2312" w:cs="仿宋_GB2312" w:eastAsia="仿宋_GB2312"/>
                <w:sz w:val="21"/>
              </w:rPr>
              <w:t>2..3分流/不分流进样口1套</w:t>
            </w:r>
          </w:p>
          <w:p>
            <w:pPr>
              <w:pStyle w:val="null3"/>
              <w:jc w:val="left"/>
            </w:pPr>
            <w:r>
              <w:rPr>
                <w:rFonts w:ascii="仿宋_GB2312" w:hAnsi="仿宋_GB2312" w:cs="仿宋_GB2312" w:eastAsia="仿宋_GB2312"/>
                <w:sz w:val="21"/>
              </w:rPr>
              <w:t>2..4三合一自动进样器单元1套</w:t>
            </w:r>
          </w:p>
          <w:p>
            <w:pPr>
              <w:pStyle w:val="null3"/>
              <w:jc w:val="left"/>
            </w:pPr>
            <w:r>
              <w:rPr>
                <w:rFonts w:ascii="仿宋_GB2312" w:hAnsi="仿宋_GB2312" w:cs="仿宋_GB2312" w:eastAsia="仿宋_GB2312"/>
                <w:sz w:val="21"/>
              </w:rPr>
              <w:t>2..5箭型固相微萃取老化装置1套</w:t>
            </w:r>
          </w:p>
          <w:p>
            <w:pPr>
              <w:pStyle w:val="null3"/>
              <w:jc w:val="left"/>
            </w:pPr>
            <w:r>
              <w:rPr>
                <w:rFonts w:ascii="仿宋_GB2312" w:hAnsi="仿宋_GB2312" w:cs="仿宋_GB2312" w:eastAsia="仿宋_GB2312"/>
                <w:sz w:val="21"/>
              </w:rPr>
              <w:t>2..6工作站软件1套</w:t>
            </w:r>
          </w:p>
          <w:p>
            <w:pPr>
              <w:pStyle w:val="null3"/>
              <w:jc w:val="left"/>
            </w:pPr>
            <w:r>
              <w:rPr>
                <w:rFonts w:ascii="仿宋_GB2312" w:hAnsi="仿宋_GB2312" w:cs="仿宋_GB2312" w:eastAsia="仿宋_GB2312"/>
                <w:sz w:val="21"/>
              </w:rPr>
              <w:t>2..7安装工具包1套</w:t>
            </w:r>
          </w:p>
          <w:p>
            <w:pPr>
              <w:pStyle w:val="null3"/>
              <w:jc w:val="left"/>
            </w:pPr>
            <w:r>
              <w:rPr>
                <w:rFonts w:ascii="仿宋_GB2312" w:hAnsi="仿宋_GB2312" w:cs="仿宋_GB2312" w:eastAsia="仿宋_GB2312"/>
                <w:sz w:val="21"/>
              </w:rPr>
              <w:t>2..8载气净化管1根</w:t>
            </w:r>
          </w:p>
          <w:p>
            <w:pPr>
              <w:pStyle w:val="null3"/>
              <w:jc w:val="left"/>
            </w:pPr>
            <w:r>
              <w:rPr>
                <w:rFonts w:ascii="仿宋_GB2312" w:hAnsi="仿宋_GB2312" w:cs="仿宋_GB2312" w:eastAsia="仿宋_GB2312"/>
                <w:sz w:val="21"/>
              </w:rPr>
              <w:t>2..9离子源清洗工具包1套</w:t>
            </w:r>
          </w:p>
          <w:p>
            <w:pPr>
              <w:pStyle w:val="null3"/>
              <w:jc w:val="left"/>
            </w:pPr>
            <w:r>
              <w:rPr>
                <w:rFonts w:ascii="仿宋_GB2312" w:hAnsi="仿宋_GB2312" w:cs="仿宋_GB2312" w:eastAsia="仿宋_GB2312"/>
                <w:sz w:val="21"/>
              </w:rPr>
              <w:t>2..10同品牌极性（WAX）色谱柱（30m×0.25mm×0.25μm）1根</w:t>
            </w:r>
          </w:p>
          <w:p>
            <w:pPr>
              <w:pStyle w:val="null3"/>
              <w:jc w:val="left"/>
            </w:pPr>
            <w:r>
              <w:rPr>
                <w:rFonts w:ascii="仿宋_GB2312" w:hAnsi="仿宋_GB2312" w:cs="仿宋_GB2312" w:eastAsia="仿宋_GB2312"/>
                <w:sz w:val="21"/>
              </w:rPr>
              <w:t>2..11同品牌非极性（-5ms）色谱柱（30m×0.25mm×0.25μm）1根</w:t>
            </w:r>
          </w:p>
          <w:p>
            <w:pPr>
              <w:pStyle w:val="null3"/>
              <w:jc w:val="left"/>
            </w:pPr>
            <w:r>
              <w:rPr>
                <w:rFonts w:ascii="仿宋_GB2312" w:hAnsi="仿宋_GB2312" w:cs="仿宋_GB2312" w:eastAsia="仿宋_GB2312"/>
                <w:sz w:val="21"/>
              </w:rPr>
              <w:t>2..12同品牌非极性（-5ms）色谱柱（5m×0.15mm×0.15μm）1根</w:t>
            </w:r>
          </w:p>
          <w:p>
            <w:pPr>
              <w:pStyle w:val="null3"/>
              <w:jc w:val="left"/>
            </w:pPr>
            <w:r>
              <w:rPr>
                <w:rFonts w:ascii="仿宋_GB2312" w:hAnsi="仿宋_GB2312" w:cs="仿宋_GB2312" w:eastAsia="仿宋_GB2312"/>
                <w:sz w:val="21"/>
              </w:rPr>
              <w:t>2.13进样口隔垫100个</w:t>
            </w:r>
          </w:p>
          <w:p>
            <w:pPr>
              <w:pStyle w:val="null3"/>
              <w:jc w:val="left"/>
            </w:pPr>
            <w:r>
              <w:rPr>
                <w:rFonts w:ascii="仿宋_GB2312" w:hAnsi="仿宋_GB2312" w:cs="仿宋_GB2312" w:eastAsia="仿宋_GB2312"/>
                <w:sz w:val="21"/>
              </w:rPr>
              <w:t>2.14分流衬管5个</w:t>
            </w:r>
          </w:p>
          <w:p>
            <w:pPr>
              <w:pStyle w:val="null3"/>
              <w:jc w:val="left"/>
            </w:pPr>
            <w:r>
              <w:rPr>
                <w:rFonts w:ascii="仿宋_GB2312" w:hAnsi="仿宋_GB2312" w:cs="仿宋_GB2312" w:eastAsia="仿宋_GB2312"/>
                <w:sz w:val="21"/>
              </w:rPr>
              <w:t>2.15不分流衬管5个</w:t>
            </w:r>
          </w:p>
          <w:p>
            <w:pPr>
              <w:pStyle w:val="null3"/>
              <w:jc w:val="left"/>
            </w:pPr>
            <w:r>
              <w:rPr>
                <w:rFonts w:ascii="仿宋_GB2312" w:hAnsi="仿宋_GB2312" w:cs="仿宋_GB2312" w:eastAsia="仿宋_GB2312"/>
                <w:sz w:val="21"/>
              </w:rPr>
              <w:t>2.16进样口O型圈10个</w:t>
            </w:r>
          </w:p>
          <w:p>
            <w:pPr>
              <w:pStyle w:val="null3"/>
              <w:jc w:val="left"/>
            </w:pPr>
            <w:r>
              <w:rPr>
                <w:rFonts w:ascii="仿宋_GB2312" w:hAnsi="仿宋_GB2312" w:cs="仿宋_GB2312" w:eastAsia="仿宋_GB2312"/>
                <w:sz w:val="21"/>
              </w:rPr>
              <w:t>2.17色谱柱密封垫20个</w:t>
            </w:r>
          </w:p>
          <w:p>
            <w:pPr>
              <w:pStyle w:val="null3"/>
              <w:jc w:val="left"/>
            </w:pPr>
            <w:r>
              <w:rPr>
                <w:rFonts w:ascii="仿宋_GB2312" w:hAnsi="仿宋_GB2312" w:cs="仿宋_GB2312" w:eastAsia="仿宋_GB2312"/>
                <w:sz w:val="21"/>
              </w:rPr>
              <w:t>2.18色谱柱手拧接头4个</w:t>
            </w:r>
          </w:p>
          <w:p>
            <w:pPr>
              <w:pStyle w:val="null3"/>
              <w:jc w:val="left"/>
            </w:pPr>
            <w:r>
              <w:rPr>
                <w:rFonts w:ascii="仿宋_GB2312" w:hAnsi="仿宋_GB2312" w:cs="仿宋_GB2312" w:eastAsia="仿宋_GB2312"/>
                <w:sz w:val="21"/>
              </w:rPr>
              <w:t>2.19液体进样瓶100个</w:t>
            </w:r>
          </w:p>
          <w:p>
            <w:pPr>
              <w:pStyle w:val="null3"/>
              <w:jc w:val="left"/>
            </w:pPr>
            <w:r>
              <w:rPr>
                <w:rFonts w:ascii="仿宋_GB2312" w:hAnsi="仿宋_GB2312" w:cs="仿宋_GB2312" w:eastAsia="仿宋_GB2312"/>
                <w:sz w:val="21"/>
              </w:rPr>
              <w:t>2.20顶空进样瓶100个</w:t>
            </w:r>
          </w:p>
          <w:p>
            <w:pPr>
              <w:pStyle w:val="null3"/>
              <w:jc w:val="left"/>
            </w:pPr>
            <w:r>
              <w:rPr>
                <w:rFonts w:ascii="仿宋_GB2312" w:hAnsi="仿宋_GB2312" w:cs="仿宋_GB2312" w:eastAsia="仿宋_GB2312"/>
                <w:sz w:val="21"/>
              </w:rPr>
              <w:t>2.21泵油2瓶</w:t>
            </w:r>
          </w:p>
          <w:p>
            <w:pPr>
              <w:pStyle w:val="null3"/>
              <w:jc w:val="left"/>
            </w:pPr>
            <w:r>
              <w:rPr>
                <w:rFonts w:ascii="仿宋_GB2312" w:hAnsi="仿宋_GB2312" w:cs="仿宋_GB2312" w:eastAsia="仿宋_GB2312"/>
                <w:sz w:val="21"/>
              </w:rPr>
              <w:t>2.22箭型固相微萃取头2包</w:t>
            </w:r>
          </w:p>
          <w:p>
            <w:pPr>
              <w:pStyle w:val="null3"/>
              <w:jc w:val="left"/>
            </w:pPr>
            <w:r>
              <w:rPr>
                <w:rFonts w:ascii="仿宋_GB2312" w:hAnsi="仿宋_GB2312" w:cs="仿宋_GB2312" w:eastAsia="仿宋_GB2312"/>
                <w:sz w:val="21"/>
              </w:rPr>
              <w:t>2.23全二维系统附件1套</w:t>
            </w:r>
          </w:p>
          <w:p>
            <w:pPr>
              <w:pStyle w:val="null3"/>
              <w:jc w:val="left"/>
            </w:pPr>
            <w:r>
              <w:rPr>
                <w:rFonts w:ascii="仿宋_GB2312" w:hAnsi="仿宋_GB2312" w:cs="仿宋_GB2312" w:eastAsia="仿宋_GB2312"/>
                <w:sz w:val="21"/>
              </w:rPr>
              <w:t>2.24</w:t>
            </w:r>
            <w:r>
              <w:rPr>
                <w:rFonts w:ascii="仿宋_GB2312" w:hAnsi="仿宋_GB2312" w:cs="仿宋_GB2312" w:eastAsia="仿宋_GB2312"/>
                <w:sz w:val="21"/>
              </w:rPr>
              <w:t>输出显示设备</w:t>
            </w:r>
            <w:r>
              <w:rPr>
                <w:rFonts w:ascii="仿宋_GB2312" w:hAnsi="仿宋_GB2312" w:cs="仿宋_GB2312" w:eastAsia="仿宋_GB2312"/>
                <w:sz w:val="21"/>
              </w:rPr>
              <w:t>1台</w:t>
            </w:r>
          </w:p>
          <w:p>
            <w:pPr>
              <w:pStyle w:val="null3"/>
            </w:pPr>
            <w:r>
              <w:rPr>
                <w:rFonts w:ascii="仿宋_GB2312" w:hAnsi="仿宋_GB2312" w:cs="仿宋_GB2312" w:eastAsia="仿宋_GB2312"/>
                <w:sz w:val="21"/>
              </w:rPr>
              <w:t>2.25UPS不间断电源1套（功率≥10KVA，蓄电时间≥1h）</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供货期：签订合同后90日历日内供货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因系统受限，具体详见其他要求</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 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一、付款方式： 供应商须自行选择以下任一付款方式。只能唯一响应，不接受选择性响应，否则视为未实质性响应招标文件要求。 选择付款方式必须与投标文件中供货期相符。 方式一（仅限2025年12月15日前无法验收合格的进口产品项目）： 1.设备进口减免税手续由采购人指定的进出口外贸公司办理（外贸代理服务费由中标人承担），采购人可协助提供相关资料。 2.合同签订后，采购人将100%合同金额款项转入由进出口外贸公司、采购人及相关银行的三方监管账户，项目验收合格后解付监管账户相关资金。 3.中标人在签订合同前须向采购人交纳中标金额的5%做为履约保证金，待验收合格后，无异议，供货商提交申请，使用部门签字确认后一次性无息退还。 方式二（仅限2025年12月15日前验收合格的进口产品项目）： 1.设备进口减免税手续由采购人指定的进出口外贸公司办理（外贸代理服务费由中标人承担），采购人可协助提供相关资料。 2.发票在货到验收合格后由中标人委托的外贸代理机构开具给采购人。 3.采购人收到中标人委托的外贸代理机构开具的全额发票后及时向中标人委托的外贸代理机构支付合同总价款的100%。 4.中标人在签订合同前须向采购人交纳中标金额的5%做为履约保证金，待验收合格后，无异议，供货商提交申请，使用部门签字确认后一次性无息退还 方式三（仅限2025年12月15日前验收合格的国产产品项目）： 1.发票在货到验收合格后由中标人开具给采购人。 2.采购人收到中标人开具的全额增值税专用发票（电子、纸质发票均可，纸质发票须包含发票联、抵扣联）后及时向中标人支付合同总价款的100%。 3.中标人在签订合同前须向采购人交纳中标金额的5%做为履约保证金，待验收合格后，无异议，供货商提交申请，使用部门签字确认后一次性无息退还。 方式四（仅限2025年12月15日前无法验收合格的国产产品项目）： 1.合同生效后，乙方开具合同金额等额银行保函，甲方收到银行保函正本后预付合同货款。 2.发票在货到验收合格后由中标人开具给采购人。 3.采购人收到中标人开具的全额增值税专用发票（电子、纸质发票均可，纸质发票须包含发票联、抵扣联）后，甲方退还银行保函正本。 4.中标人在签订合同前须向采购人交纳中标金额的5%做为履约保证金，待验收合格后，无异议，供货商提交申请，使用部门签字确认后一次性无息退还。 二、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西安市雁塔区科技路30号合力紫郡B座21层）。 三、投标保证金以电子保函形式递交需在开标前给shanxizhuoming_zb@163.com发一份扫描件。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进口授权</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 者最高限价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投标文件的供货期</w:t>
            </w:r>
          </w:p>
        </w:tc>
        <w:tc>
          <w:tcPr>
            <w:tcW w:type="dxa" w:w="3322"/>
          </w:tcPr>
          <w:p>
            <w:pPr>
              <w:pStyle w:val="null3"/>
            </w:pPr>
            <w:r>
              <w:rPr>
                <w:rFonts w:ascii="仿宋_GB2312" w:hAnsi="仿宋_GB2312" w:cs="仿宋_GB2312" w:eastAsia="仿宋_GB2312"/>
              </w:rPr>
              <w:t>供货期不满足招标文件要求 不合格 供货期满足招标文件要求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投标文件的质保期</w:t>
            </w:r>
          </w:p>
        </w:tc>
        <w:tc>
          <w:tcPr>
            <w:tcW w:type="dxa" w:w="3322"/>
          </w:tcPr>
          <w:p>
            <w:pPr>
              <w:pStyle w:val="null3"/>
            </w:pPr>
            <w:r>
              <w:rPr>
                <w:rFonts w:ascii="仿宋_GB2312" w:hAnsi="仿宋_GB2312" w:cs="仿宋_GB2312" w:eastAsia="仿宋_GB2312"/>
              </w:rPr>
              <w:t>质保期不满足招标文件要求 不合格 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投标函 供应商认为有必要说明的其他问题.docx 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 格，存在法律、法规和招标文件规定的其他无效情形 不合格</w:t>
            </w:r>
          </w:p>
        </w:tc>
        <w:tc>
          <w:tcPr>
            <w:tcW w:type="dxa" w:w="1661"/>
          </w:tcPr>
          <w:p>
            <w:pPr>
              <w:pStyle w:val="null3"/>
            </w:pPr>
            <w:r>
              <w:rPr>
                <w:rFonts w:ascii="仿宋_GB2312" w:hAnsi="仿宋_GB2312" w:cs="仿宋_GB2312" w:eastAsia="仿宋_GB2312"/>
              </w:rPr>
              <w:t>投标函 供应商认为有必要说明的其他问题.docx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基本分（37分）：完全符合、响应招标文件要求，没有负偏离计37分，“▲”参数每负偏离一项扣2分，未带标识参数每负偏离一项扣0.35分，扣完为止。 备注：标记▲参数必须提供佐证材料（包括但不限于产品彩页、检测报告、功能截图、盖章的说明书等），未提供佐证材料或提供的佐证材料低于招标要求时按负偏离处理。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针对本项目有具体实施方案，内容包含： ①项目总体实施方案；②项目团队方案；③项目实施时间安排方案；④系统安装调试方案；⑤项目验收方案。提供的上述5项内容完整可行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提供的上述4项内容完整可行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针对本项目有具体的售后服务方案，内容包含：①售后服务网点的设定；②拟投入售后服务人员配置情况；③日常维护保养；④项目交付用户后出现故障响应时间及措施；⑤备品备件、耗材更换的服务承诺 。提供的上述5项内容完整可行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 提供的上述4项内容完整可行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经国家认证的得0.5分，每有一项为环境标志产品经国家认证的得0.5分，最多得1分。（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提供供应商2022年9月1日至今同类项目合同（以合同签订日期为准），每提供1个得1分，最高得5分。 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详见附件：陕科大合同模板-设备更新项目.docx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