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B73B8"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 w14:paraId="7E8C9BCF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 w14:paraId="20AF08C1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　   </w:t>
      </w:r>
    </w:p>
    <w:p w14:paraId="48A427E0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货币：人民币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单位：元</w:t>
      </w: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821"/>
        <w:gridCol w:w="720"/>
        <w:gridCol w:w="765"/>
        <w:gridCol w:w="775"/>
        <w:gridCol w:w="753"/>
        <w:gridCol w:w="559"/>
        <w:gridCol w:w="581"/>
        <w:gridCol w:w="547"/>
        <w:gridCol w:w="763"/>
        <w:gridCol w:w="1587"/>
      </w:tblGrid>
      <w:tr w14:paraId="5F544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77" w:type="pct"/>
            <w:noWrap w:val="0"/>
            <w:vAlign w:val="center"/>
          </w:tcPr>
          <w:p w14:paraId="00D2616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83" w:type="pct"/>
            <w:noWrap w:val="0"/>
            <w:vAlign w:val="center"/>
          </w:tcPr>
          <w:p w14:paraId="33581D8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6AD73DC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422" w:type="pct"/>
            <w:noWrap w:val="0"/>
            <w:vAlign w:val="center"/>
          </w:tcPr>
          <w:p w14:paraId="1D4820C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449" w:type="pct"/>
            <w:noWrap w:val="0"/>
            <w:vAlign w:val="center"/>
          </w:tcPr>
          <w:p w14:paraId="47C4EB5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196E0C9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455" w:type="pct"/>
            <w:noWrap w:val="0"/>
            <w:vAlign w:val="center"/>
          </w:tcPr>
          <w:p w14:paraId="30ABD9F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442" w:type="pct"/>
            <w:noWrap w:val="0"/>
            <w:vAlign w:val="center"/>
          </w:tcPr>
          <w:p w14:paraId="7EE016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12A433E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328" w:type="pct"/>
            <w:noWrap w:val="0"/>
            <w:vAlign w:val="center"/>
          </w:tcPr>
          <w:p w14:paraId="62D4EBF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341" w:type="pct"/>
            <w:noWrap w:val="0"/>
            <w:vAlign w:val="center"/>
          </w:tcPr>
          <w:p w14:paraId="024A274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321" w:type="pct"/>
            <w:noWrap w:val="0"/>
            <w:vAlign w:val="center"/>
          </w:tcPr>
          <w:p w14:paraId="0CE952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448" w:type="pct"/>
            <w:noWrap w:val="0"/>
            <w:vAlign w:val="center"/>
          </w:tcPr>
          <w:p w14:paraId="240681B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中小</w:t>
            </w:r>
          </w:p>
          <w:p w14:paraId="3D29D2E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30" w:type="pct"/>
            <w:noWrap w:val="0"/>
            <w:vAlign w:val="center"/>
          </w:tcPr>
          <w:p w14:paraId="2B4B2A7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37CC7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016954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823" w:type="dxa"/>
            <w:noWrap w:val="0"/>
            <w:vAlign w:val="center"/>
          </w:tcPr>
          <w:p w14:paraId="09DF97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012849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72AAA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017FCE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3876D3E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77A2119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2D4A4F8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78C826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39AB0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2D975A7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3E3B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639AC73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823" w:type="dxa"/>
            <w:noWrap w:val="0"/>
            <w:vAlign w:val="center"/>
          </w:tcPr>
          <w:p w14:paraId="0F0A354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25608F9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4AFE9A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0E968D1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64A181C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4D105FA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13C7E7C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015B5AA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6173B86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6A18A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A95D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669D7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823" w:type="dxa"/>
            <w:noWrap w:val="0"/>
            <w:vAlign w:val="center"/>
          </w:tcPr>
          <w:p w14:paraId="041E3E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681B271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11AB6A2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5646EAB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70DC2D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606DCDD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DAD8E6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069F38B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45C45B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804F2D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E1AB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13471C3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23" w:type="dxa"/>
            <w:noWrap w:val="0"/>
            <w:vAlign w:val="center"/>
          </w:tcPr>
          <w:p w14:paraId="41DC2B6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630C4B1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299950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6577EF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1208D34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67A57A9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27B924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1023A19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0C11BC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5149C76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4F06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487977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23" w:type="dxa"/>
            <w:noWrap w:val="0"/>
            <w:vAlign w:val="center"/>
          </w:tcPr>
          <w:p w14:paraId="4BE50F0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436085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A0173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2C887DB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346BE1A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76B22C3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74D472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4D02D60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673D7C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6936E85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8A94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7A43F48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823" w:type="dxa"/>
            <w:noWrap w:val="0"/>
            <w:vAlign w:val="center"/>
          </w:tcPr>
          <w:p w14:paraId="77229C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4C3E594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929C2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5B7B706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78A5CFB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1C2F24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52D8383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74BE55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04EC30C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47B04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C7B6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3" w:type="pct"/>
            <w:gridSpan w:val="3"/>
            <w:noWrap w:val="0"/>
            <w:vAlign w:val="center"/>
          </w:tcPr>
          <w:p w14:paraId="515C20C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报价</w:t>
            </w:r>
          </w:p>
        </w:tc>
        <w:tc>
          <w:tcPr>
            <w:tcW w:w="3716" w:type="pct"/>
            <w:gridSpan w:val="8"/>
            <w:noWrap w:val="0"/>
            <w:vAlign w:val="center"/>
          </w:tcPr>
          <w:p w14:paraId="5D63BDF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260C2DB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 w14:paraId="071199A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 w14:paraId="156213FA">
      <w:pPr>
        <w:pStyle w:val="4"/>
        <w:numPr>
          <w:ilvl w:val="0"/>
          <w:numId w:val="0"/>
        </w:num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2、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投标</w:t>
      </w:r>
      <w:r>
        <w:rPr>
          <w:rFonts w:hint="eastAsia" w:ascii="仿宋" w:hAnsi="仿宋" w:eastAsia="仿宋" w:cs="仿宋"/>
          <w:sz w:val="28"/>
          <w:szCs w:val="28"/>
        </w:rPr>
        <w:t>报价子目出现漏项或报价数量与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招标</w:t>
      </w:r>
      <w:r>
        <w:rPr>
          <w:rFonts w:hint="eastAsia" w:ascii="仿宋" w:hAnsi="仿宋" w:eastAsia="仿宋" w:cs="仿宋"/>
          <w:sz w:val="28"/>
          <w:szCs w:val="28"/>
        </w:rPr>
        <w:t>文件要求不符的，将被视为无效投标。</w:t>
      </w:r>
    </w:p>
    <w:p w14:paraId="5035A814">
      <w:pPr>
        <w:pStyle w:val="4"/>
        <w:numPr>
          <w:ilvl w:val="0"/>
          <w:numId w:val="0"/>
        </w:num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3、税费包含在报价中，不单独列项。</w:t>
      </w:r>
    </w:p>
    <w:p w14:paraId="5537DDBB">
      <w:pPr>
        <w:pStyle w:val="4"/>
        <w:numPr>
          <w:ilvl w:val="0"/>
          <w:numId w:val="0"/>
        </w:num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因采购人具有教科文进口环节减免税资格，进口设备可以报免税报价，不在教科文减免范围的设备应按含税开展报价。免税报价包含外贸代理服务费。免税报价免除仅为进口环节的教科文减免税（进口环节增值税）。供应商报价未明确免税报价的视为含税报价。</w:t>
      </w:r>
    </w:p>
    <w:p w14:paraId="4C28405B">
      <w:pPr>
        <w:pStyle w:val="4"/>
        <w:spacing w:line="336" w:lineRule="auto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</w:p>
    <w:p w14:paraId="5488CF7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</w:p>
    <w:p w14:paraId="012716E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4832F0B2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33A4536"/>
    <w:rsid w:val="14615020"/>
    <w:rsid w:val="191C19E6"/>
    <w:rsid w:val="3618100F"/>
    <w:rsid w:val="78B7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206</Words>
  <Characters>208</Characters>
  <Lines>0</Lines>
  <Paragraphs>0</Paragraphs>
  <TotalTime>1</TotalTime>
  <ScaleCrop>false</ScaleCrop>
  <LinksUpToDate>false</LinksUpToDate>
  <CharactersWithSpaces>324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2023-12-27T11:04:00Z</dcterms:created>
  <dc:creator>admin</dc:creator>
  <cp:lastModifiedBy>puppet</cp:lastModifiedBy>
  <dcterms:modified xsi:type="dcterms:W3CDTF">2025-09-29T14:20:04Z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A5B4385404C3418B95B523F872D42494_12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