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版本号：JXRC-25102320251112001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三维荧光分光光度计采购项目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JXRC-251023</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三维荧光分光光度计采购项目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JXRC-251023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三维荧光分光光度计采购项目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三维荧光分光光度计，1套。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5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w:t>
      </w:r>
    </w:p>
    <w:p>
      <w:pPr>
        <w:pStyle w:val="null3"/>
      </w:pPr>
      <w:r>
        <w:rPr>
          <w:rFonts w:ascii="仿宋_GB2312" w:hAnsi="仿宋_GB2312" w:cs="仿宋_GB2312" w:eastAsia="仿宋_GB2312"/>
        </w:rPr>
        <w:t>6、参加本次政府采购活动前三年内，在经营活动中没有重大违法记录：供应商参加本次政府采购活动前三年内，在经营活动中没有重大违法记录，提供《无重大违法记录声明》。</w:t>
      </w:r>
    </w:p>
    <w:p>
      <w:pPr>
        <w:pStyle w:val="null3"/>
      </w:pPr>
      <w:r>
        <w:rPr>
          <w:rFonts w:ascii="仿宋_GB2312" w:hAnsi="仿宋_GB2312" w:cs="仿宋_GB2312" w:eastAsia="仿宋_GB2312"/>
        </w:rPr>
        <w:t>7、供应商应具有履行合同所必需的设备和专业技术能力：供应商须提供《具有履行合同所必需的设备和专业技术能力的承诺书》。</w:t>
      </w:r>
    </w:p>
    <w:p>
      <w:pPr>
        <w:pStyle w:val="null3"/>
      </w:pPr>
      <w:r>
        <w:rPr>
          <w:rFonts w:ascii="仿宋_GB2312" w:hAnsi="仿宋_GB2312" w:cs="仿宋_GB2312" w:eastAsia="仿宋_GB2312"/>
        </w:rPr>
        <w:t>8、进口授权：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开户银行：民生银行西安分行营业部（备注：转账时须附言“251023谈判保证金”）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说明：履约保证金金额为成交金额的5%，转账金额到账后，可持银行回执到西北大学国有资产管理处换取收据。待合同执行完毕、设备验收合格后凭验收单和缴款收据，合同履约保证金予以退还。 转账账号：西北大学 611301015018001145006 交通银行太白路支行 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采购代理服务收费管理暂行办法的通知》（计价格[2002]1980号）及《国家发展改革委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陕西嘉信瑞诚招标有限公司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三维荧光分光光度计，1套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三维荧光分光光度计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标的名称：三维荧光分光光度计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一、基本要求</w:t>
            </w:r>
          </w:p>
          <w:p>
            <w:pPr>
              <w:pStyle w:val="null3"/>
            </w:pPr>
            <w:r>
              <w:rPr>
                <w:rFonts w:ascii="仿宋_GB2312" w:hAnsi="仿宋_GB2312" w:cs="仿宋_GB2312" w:eastAsia="仿宋_GB2312"/>
                <w:sz w:val="21"/>
                <w:color w:val="000000"/>
              </w:rPr>
              <w:t>1.1</w:t>
            </w:r>
            <w:r>
              <w:rPr>
                <w:rFonts w:ascii="仿宋_GB2312" w:hAnsi="仿宋_GB2312" w:cs="仿宋_GB2312" w:eastAsia="仿宋_GB2312"/>
                <w:sz w:val="21"/>
                <w:color w:val="000000"/>
              </w:rPr>
              <w:t>可测荧光光谱、磷光光谱、化学/生物发光、三维扫描、波长扫描、时间扫描测量、定量分析等。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outlineLvl w:val="3"/>
            </w:pPr>
            <w:r>
              <w:rPr>
                <w:rFonts w:ascii="仿宋_GB2312" w:hAnsi="仿宋_GB2312" w:cs="仿宋_GB2312" w:eastAsia="仿宋_GB2312"/>
                <w:sz w:val="21"/>
                <w:b/>
                <w:color w:val="000000"/>
              </w:rPr>
              <w:t>1.2</w:t>
            </w:r>
            <w:r>
              <w:rPr>
                <w:rFonts w:ascii="仿宋_GB2312" w:hAnsi="仿宋_GB2312" w:cs="仿宋_GB2312" w:eastAsia="仿宋_GB2312"/>
                <w:sz w:val="21"/>
                <w:b/>
                <w:color w:val="000000"/>
              </w:rPr>
              <w:t>可同时测量三维荧光扫描光谱以及三维时间扫描光谱（三个维度为：发射波长、光度值和时间）。</w:t>
            </w:r>
            <w:r>
              <w:rPr>
                <w:rFonts w:ascii="仿宋_GB2312" w:hAnsi="仿宋_GB2312" w:cs="仿宋_GB2312" w:eastAsia="仿宋_GB2312"/>
                <w:sz w:val="21"/>
                <w:b/>
                <w:color w:val="000000"/>
              </w:rPr>
              <w:t>提供相关证明材料（不限于产品彩页、官网截图、第三方检测报告等）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具有磷光检测功能，可做毫秒级的磷光发光寿命测量。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具有96微孔板高通量测试系统，可以测试波长扫描、时间扫描、定量分析以及三维光谱扫描。同时，支持使用标准的10mm方形池做检测。提供相关证明材料（不限于产品彩页、官网截图、第三方检测报告等）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color w:val="000000"/>
              </w:rPr>
              <w:t xml:space="preserve">1.5 </w:t>
            </w:r>
            <w:r>
              <w:rPr>
                <w:rFonts w:ascii="仿宋_GB2312" w:hAnsi="仿宋_GB2312" w:cs="仿宋_GB2312" w:eastAsia="仿宋_GB2312"/>
                <w:sz w:val="21"/>
                <w:color w:val="000000"/>
              </w:rPr>
              <w:t>具有零点校正功能：能对发射端光电探测器及参比探测器均进行暗电流补偿，确保在1～10 FLU的极弱信号区间内仍能完成精确定量测定。</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color w:val="000000"/>
              </w:rPr>
              <w:t xml:space="preserve">1.6 </w:t>
            </w:r>
            <w:r>
              <w:rPr>
                <w:rFonts w:ascii="仿宋_GB2312" w:hAnsi="仿宋_GB2312" w:cs="仿宋_GB2312" w:eastAsia="仿宋_GB2312"/>
                <w:sz w:val="21"/>
                <w:color w:val="000000"/>
              </w:rPr>
              <w:t>具有防止样品劣化的自动挡板控制功能。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能进行固体样品测量。</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可进行光度分析、定量分析、动力学分析、时间扫描、光谱扫描、多波长分、DNA浓度测试。</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具有样品前处理系统，样品可进行前处理分离。</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color w:val="000000"/>
              </w:rPr>
              <w:t>二、技术指标</w:t>
            </w:r>
          </w:p>
          <w:p>
            <w:pPr>
              <w:pStyle w:val="null3"/>
            </w:pPr>
            <w:r>
              <w:rPr>
                <w:rFonts w:ascii="仿宋_GB2312" w:hAnsi="仿宋_GB2312" w:cs="仿宋_GB2312" w:eastAsia="仿宋_GB2312"/>
                <w:sz w:val="21"/>
                <w:color w:val="000000"/>
              </w:rPr>
              <w:t>2.1</w:t>
            </w:r>
            <w:r>
              <w:rPr>
                <w:rFonts w:ascii="仿宋_GB2312" w:hAnsi="仿宋_GB2312" w:cs="仿宋_GB2312" w:eastAsia="仿宋_GB2312"/>
                <w:sz w:val="21"/>
                <w:color w:val="000000"/>
              </w:rPr>
              <w:t>灵敏度≥1200（RMS）；背景最低噪声≥18000（RMS）；S/N ≥360（P-P）；使用水的拉曼峰，激发波长350nm，光谱带宽5nm，响应时间≤2S。</w:t>
            </w:r>
            <w:r>
              <w:rPr>
                <w:rFonts w:ascii="仿宋_GB2312" w:hAnsi="仿宋_GB2312" w:cs="仿宋_GB2312" w:eastAsia="仿宋_GB2312"/>
                <w:sz w:val="21"/>
                <w:color w:val="000000"/>
              </w:rPr>
              <w:t>提供相关证明材料（不限于产品彩页、官网截图、第三方检测报告等）</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color w:val="000000"/>
              </w:rPr>
              <w:t>2.2</w:t>
            </w:r>
            <w:r>
              <w:rPr>
                <w:rFonts w:ascii="仿宋_GB2312" w:hAnsi="仿宋_GB2312" w:cs="仿宋_GB2312" w:eastAsia="仿宋_GB2312"/>
                <w:sz w:val="21"/>
                <w:color w:val="000000"/>
              </w:rPr>
              <w:t>标准荧光池最小样品量≤0.6ml（使用标准10mm方形样品池），使用微量荧光比色皿≤0.2ml。</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color w:val="000000"/>
              </w:rPr>
              <w:t>2.3</w:t>
            </w:r>
            <w:r>
              <w:rPr>
                <w:rFonts w:ascii="仿宋_GB2312" w:hAnsi="仿宋_GB2312" w:cs="仿宋_GB2312" w:eastAsia="仿宋_GB2312"/>
                <w:sz w:val="21"/>
                <w:color w:val="000000"/>
              </w:rPr>
              <w:t>狭缝方式：水平狭缝。</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color w:val="000000"/>
              </w:rPr>
              <w:t>2.4</w:t>
            </w:r>
            <w:r>
              <w:rPr>
                <w:rFonts w:ascii="仿宋_GB2312" w:hAnsi="仿宋_GB2312" w:cs="仿宋_GB2312" w:eastAsia="仿宋_GB2312"/>
                <w:sz w:val="21"/>
                <w:color w:val="000000"/>
              </w:rPr>
              <w:t>激发光源：150W的连续氙灯光源，使用寿命长≥2200小时，具有磷光及磷光寿命测试光源。</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color w:val="000000"/>
              </w:rPr>
              <w:t>2.5</w:t>
            </w:r>
            <w:r>
              <w:rPr>
                <w:rFonts w:ascii="仿宋_GB2312" w:hAnsi="仿宋_GB2312" w:cs="仿宋_GB2312" w:eastAsia="仿宋_GB2312"/>
                <w:sz w:val="21"/>
                <w:color w:val="000000"/>
              </w:rPr>
              <w:t>单色器：采用像差校正的机刻凹面衍射光栅，光谱分辨率≤0.1nm。</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color w:val="000000"/>
              </w:rPr>
              <w:t>2.6</w:t>
            </w:r>
            <w:r>
              <w:rPr>
                <w:rFonts w:ascii="仿宋_GB2312" w:hAnsi="仿宋_GB2312" w:cs="仿宋_GB2312" w:eastAsia="仿宋_GB2312"/>
                <w:sz w:val="21"/>
                <w:color w:val="000000"/>
              </w:rPr>
              <w:t>检测器：具有自增益功能的检测器（0～1000V连续可调），可使用相同检测条件实现从低到高的荧光强度检测。</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color w:val="000000"/>
              </w:rPr>
              <w:t>2.7</w:t>
            </w:r>
            <w:r>
              <w:rPr>
                <w:rFonts w:ascii="仿宋_GB2312" w:hAnsi="仿宋_GB2312" w:cs="仿宋_GB2312" w:eastAsia="仿宋_GB2312"/>
                <w:sz w:val="21"/>
                <w:color w:val="000000"/>
              </w:rPr>
              <w:t>测量波长范围（EX/EM）：200 nm～900nm，零级光。</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color w:val="000000"/>
              </w:rPr>
              <w:t>2.8</w:t>
            </w:r>
            <w:r>
              <w:rPr>
                <w:rFonts w:ascii="仿宋_GB2312" w:hAnsi="仿宋_GB2312" w:cs="仿宋_GB2312" w:eastAsia="仿宋_GB2312"/>
                <w:sz w:val="21"/>
                <w:color w:val="000000"/>
              </w:rPr>
              <w:t>光谱通带：激发侧：1/2.5/5/10/20nm；发射侧：1/2.5/5/10/20nm。</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color w:val="000000"/>
              </w:rPr>
              <w:t>2.9</w:t>
            </w:r>
            <w:r>
              <w:rPr>
                <w:rFonts w:ascii="仿宋_GB2312" w:hAnsi="仿宋_GB2312" w:cs="仿宋_GB2312" w:eastAsia="仿宋_GB2312"/>
                <w:sz w:val="21"/>
                <w:color w:val="000000"/>
              </w:rPr>
              <w:t>波长准确性≤1nm。</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color w:val="000000"/>
              </w:rPr>
              <w:t>2.10</w:t>
            </w:r>
            <w:r>
              <w:rPr>
                <w:rFonts w:ascii="仿宋_GB2312" w:hAnsi="仿宋_GB2312" w:cs="仿宋_GB2312" w:eastAsia="仿宋_GB2312"/>
                <w:sz w:val="21"/>
                <w:color w:val="000000"/>
              </w:rPr>
              <w:t>波长扫描速度：30/60/240/1200/2400/12000/30000/60000nm/min，扫描速度30000nm/min时，扫描波长间隔1nm；扫描速度60000nm/min时，扫描波长间隔2nm。</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color w:val="000000"/>
              </w:rPr>
              <w:t>2.11</w:t>
            </w:r>
            <w:r>
              <w:rPr>
                <w:rFonts w:ascii="仿宋_GB2312" w:hAnsi="仿宋_GB2312" w:cs="仿宋_GB2312" w:eastAsia="仿宋_GB2312"/>
                <w:sz w:val="21"/>
                <w:color w:val="000000"/>
              </w:rPr>
              <w:t>波长驱动速度：60000nm/min。</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color w:val="000000"/>
              </w:rPr>
              <w:t>2.12</w:t>
            </w:r>
            <w:r>
              <w:rPr>
                <w:rFonts w:ascii="仿宋_GB2312" w:hAnsi="仿宋_GB2312" w:cs="仿宋_GB2312" w:eastAsia="仿宋_GB2312"/>
                <w:sz w:val="21"/>
                <w:color w:val="000000"/>
              </w:rPr>
              <w:t>响应时间：从0～98%：0.002/0.004/0.01/0.05/0.1/0.5/2/4S。</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color w:val="000000"/>
              </w:rPr>
              <w:t>2.13</w:t>
            </w:r>
            <w:r>
              <w:rPr>
                <w:rFonts w:ascii="仿宋_GB2312" w:hAnsi="仿宋_GB2312" w:cs="仿宋_GB2312" w:eastAsia="仿宋_GB2312"/>
                <w:sz w:val="21"/>
                <w:color w:val="000000"/>
              </w:rPr>
              <w:t>光度计的显示范围：-9999～9999</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1"/>
                <w:color w:val="000000"/>
              </w:rPr>
              <w:t>2.14</w:t>
            </w:r>
            <w:r>
              <w:rPr>
                <w:rFonts w:ascii="仿宋_GB2312" w:hAnsi="仿宋_GB2312" w:cs="仿宋_GB2312" w:eastAsia="仿宋_GB2312"/>
                <w:sz w:val="21"/>
                <w:color w:val="000000"/>
              </w:rPr>
              <w:t>能同时测量三维荧光以及三维时间扫描，三维矩阵数据输出，用于多变量分析。</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color w:val="000000"/>
              </w:rPr>
              <w:t>2.15</w:t>
            </w:r>
            <w:r>
              <w:rPr>
                <w:rFonts w:ascii="仿宋_GB2312" w:hAnsi="仿宋_GB2312" w:cs="仿宋_GB2312" w:eastAsia="仿宋_GB2312"/>
                <w:sz w:val="21"/>
                <w:color w:val="000000"/>
              </w:rPr>
              <w:t>准确的零点校正：可对发射侧检测器和参比检测器均进行暗电流校正（零点校正），避免基线的波动。</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1"/>
                <w:color w:val="000000"/>
              </w:rPr>
              <w:t>2.16</w:t>
            </w:r>
            <w:r>
              <w:rPr>
                <w:rFonts w:ascii="仿宋_GB2312" w:hAnsi="仿宋_GB2312" w:cs="仿宋_GB2312" w:eastAsia="仿宋_GB2312"/>
                <w:sz w:val="21"/>
                <w:color w:val="000000"/>
              </w:rPr>
              <w:t>固体样品支架：能用于固体样品，粉末样品和高浓度样品的优化测定。要求从样品反射的光不会进入发射单色器；包括粉末样品池，固体样品夹具；样品厚度范围为5～13mm。</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color w:val="000000"/>
              </w:rPr>
              <w:t>2.17</w:t>
            </w:r>
            <w:r>
              <w:rPr>
                <w:rFonts w:ascii="仿宋_GB2312" w:hAnsi="仿宋_GB2312" w:cs="仿宋_GB2312" w:eastAsia="仿宋_GB2312"/>
                <w:sz w:val="21"/>
                <w:color w:val="000000"/>
              </w:rPr>
              <w:t>微孔板检测系统，样品用量约300uL左右，兼容96孔板，检测速度达96孔/60s。</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1"/>
                <w:color w:val="000000"/>
              </w:rPr>
              <w:t>2.18</w:t>
            </w:r>
            <w:r>
              <w:rPr>
                <w:rFonts w:ascii="仿宋_GB2312" w:hAnsi="仿宋_GB2312" w:cs="仿宋_GB2312" w:eastAsia="仿宋_GB2312"/>
                <w:sz w:val="21"/>
                <w:color w:val="000000"/>
              </w:rPr>
              <w:t>测量及数据处理：提供原厂软件并在Windows环境工作；带有荧光标准化功能；发光强度、激发和发射波长、光谱带宽均可由监视窗口实时显示；光谱或时间数据均实时显示并可自动存盘；有对储存数据的算术运算功能，包括四则运算，平滑功能，1～4阶导数，求面积，求峰值等；可进行单波长和双波长细胞内钙离子的计算。</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color w:val="000000"/>
              </w:rPr>
              <w:t>2.19</w:t>
            </w:r>
            <w:r>
              <w:rPr>
                <w:rFonts w:ascii="仿宋_GB2312" w:hAnsi="仿宋_GB2312" w:cs="仿宋_GB2312" w:eastAsia="仿宋_GB2312"/>
                <w:sz w:val="21"/>
                <w:color w:val="000000"/>
              </w:rPr>
              <w:t>可实现光度分析、定量分析、动力学分析、时间扫描、光谱扫描、多波长分、DNA浓度测试；比例双光束：1200条/mm，高性能光栅，波长范围：190～1100nm，光谱带宽：≤2nm，杂散光≤0.05%T@(220nmand340nm)，光度重复性：</w:t>
            </w:r>
            <w:r>
              <w:rPr>
                <w:rFonts w:ascii="仿宋_GB2312" w:hAnsi="仿宋_GB2312" w:cs="仿宋_GB2312" w:eastAsia="仿宋_GB2312"/>
                <w:sz w:val="24"/>
              </w:rPr>
              <w:t>±</w:t>
            </w:r>
            <w:r>
              <w:rPr>
                <w:rFonts w:ascii="仿宋_GB2312" w:hAnsi="仿宋_GB2312" w:cs="仿宋_GB2312" w:eastAsia="仿宋_GB2312"/>
                <w:sz w:val="21"/>
                <w:color w:val="000000"/>
              </w:rPr>
              <w:t>0.15%T</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1"/>
                <w:color w:val="000000"/>
              </w:rPr>
              <w:t>2.20</w:t>
            </w:r>
            <w:r>
              <w:rPr>
                <w:rFonts w:ascii="仿宋_GB2312" w:hAnsi="仿宋_GB2312" w:cs="仿宋_GB2312" w:eastAsia="仿宋_GB2312"/>
                <w:sz w:val="21"/>
                <w:color w:val="000000"/>
              </w:rPr>
              <w:t>十万分之一固体样品电子称量系统：量程≥95g，精度≤0.01mg，重复性≤0.015mg。</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1"/>
                <w:color w:val="000000"/>
              </w:rPr>
              <w:t xml:space="preserve">2.21 </w:t>
            </w:r>
            <w:r>
              <w:rPr>
                <w:rFonts w:ascii="仿宋_GB2312" w:hAnsi="仿宋_GB2312" w:cs="仿宋_GB2312" w:eastAsia="仿宋_GB2312"/>
                <w:sz w:val="21"/>
                <w:color w:val="000000"/>
              </w:rPr>
              <w:t>样品前处理分离系统：TFT-LCD真彩显示屏，触屏按键及实体按键双操作模式，设有离心力显示专用键，同时显示设定参数和运行参数，运行中可随时更改参数，无需停机；生物安全气密性角转子采用硅橡胶整体密封圈；10档加速及10档减速速率控制，可存储20组用户自定义程序，方便调用常用程序，开机为上次使用程序；适用于0.2mL～100mL离心管或试剂瓶；可离心各类MTP微孔板、PCR板、细胞培养板；最大容量：4×100mL；最高转速：≥20000r/min；最大离心力：28800×g；转速精度：±30r/min (可根据需求定制）；定时范围: 1min～99h59min59s，具备连续离心及瞬时离心功能。</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outlineLvl w:val="3"/>
            </w:pPr>
            <w:r>
              <w:rPr>
                <w:rFonts w:ascii="仿宋_GB2312" w:hAnsi="仿宋_GB2312" w:cs="仿宋_GB2312" w:eastAsia="仿宋_GB2312"/>
                <w:sz w:val="21"/>
                <w:b/>
                <w:color w:val="000000"/>
              </w:rPr>
              <w:t>三、配置要求</w:t>
            </w:r>
          </w:p>
          <w:p>
            <w:pPr>
              <w:pStyle w:val="null3"/>
              <w:jc w:val="both"/>
            </w:pPr>
            <w:r>
              <w:rPr>
                <w:rFonts w:ascii="仿宋_GB2312" w:hAnsi="仿宋_GB2312" w:cs="仿宋_GB2312" w:eastAsia="仿宋_GB2312"/>
                <w:sz w:val="21"/>
                <w:color w:val="000000"/>
              </w:rPr>
              <w:t xml:space="preserve">3.1 </w:t>
            </w:r>
            <w:r>
              <w:rPr>
                <w:rFonts w:ascii="仿宋_GB2312" w:hAnsi="仿宋_GB2312" w:cs="仿宋_GB2312" w:eastAsia="仿宋_GB2312"/>
                <w:sz w:val="21"/>
                <w:color w:val="000000"/>
              </w:rPr>
              <w:t>荧光分光光度计主机1套；</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sz w:val="21"/>
                <w:color w:val="000000"/>
              </w:rPr>
              <w:t xml:space="preserve">3.2 </w:t>
            </w:r>
            <w:r>
              <w:rPr>
                <w:rFonts w:ascii="仿宋_GB2312" w:hAnsi="仿宋_GB2312" w:cs="仿宋_GB2312" w:eastAsia="仿宋_GB2312"/>
                <w:sz w:val="21"/>
                <w:color w:val="000000"/>
              </w:rPr>
              <w:t>三维时间扫描系统1套；</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sz w:val="21"/>
                <w:color w:val="000000"/>
              </w:rPr>
              <w:t xml:space="preserve">3.3 </w:t>
            </w:r>
            <w:r>
              <w:rPr>
                <w:rFonts w:ascii="仿宋_GB2312" w:hAnsi="仿宋_GB2312" w:cs="仿宋_GB2312" w:eastAsia="仿宋_GB2312"/>
                <w:sz w:val="21"/>
                <w:color w:val="000000"/>
              </w:rPr>
              <w:t>液体样品支架1套；</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sz w:val="21"/>
                <w:color w:val="000000"/>
              </w:rPr>
              <w:t xml:space="preserve">3.4 </w:t>
            </w:r>
            <w:r>
              <w:rPr>
                <w:rFonts w:ascii="仿宋_GB2312" w:hAnsi="仿宋_GB2312" w:cs="仿宋_GB2312" w:eastAsia="仿宋_GB2312"/>
                <w:sz w:val="21"/>
                <w:color w:val="000000"/>
              </w:rPr>
              <w:t>固体样品支架及附件1套；</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sz w:val="21"/>
                <w:color w:val="000000"/>
              </w:rPr>
              <w:t>3.5 96</w:t>
            </w:r>
            <w:r>
              <w:rPr>
                <w:rFonts w:ascii="仿宋_GB2312" w:hAnsi="仿宋_GB2312" w:cs="仿宋_GB2312" w:eastAsia="仿宋_GB2312"/>
                <w:sz w:val="21"/>
                <w:color w:val="000000"/>
              </w:rPr>
              <w:t>微孔板高通量测试系统1套；</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sz w:val="21"/>
                <w:color w:val="000000"/>
              </w:rPr>
              <w:t>3.6 10mm</w:t>
            </w:r>
            <w:r>
              <w:rPr>
                <w:rFonts w:ascii="仿宋_GB2312" w:hAnsi="仿宋_GB2312" w:cs="仿宋_GB2312" w:eastAsia="仿宋_GB2312"/>
                <w:sz w:val="21"/>
                <w:color w:val="000000"/>
              </w:rPr>
              <w:t>标准荧光样品池1个；</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sz w:val="21"/>
                <w:color w:val="000000"/>
              </w:rPr>
              <w:t xml:space="preserve">3.7 </w:t>
            </w:r>
            <w:r>
              <w:rPr>
                <w:rFonts w:ascii="仿宋_GB2312" w:hAnsi="仿宋_GB2312" w:cs="仿宋_GB2312" w:eastAsia="仿宋_GB2312"/>
                <w:sz w:val="21"/>
                <w:color w:val="000000"/>
              </w:rPr>
              <w:t>荧光安装必备工具包1套；</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sz w:val="21"/>
                <w:color w:val="000000"/>
              </w:rPr>
              <w:t>3.8 数据处理终端1套（Windows10专业版64位系统，性能不低于I7处理器，16G内存，256G固态硬盘+1T机械硬盘，≥23英寸显示器）；</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sz w:val="21"/>
                <w:color w:val="000000"/>
              </w:rPr>
              <w:t xml:space="preserve">3.9 </w:t>
            </w:r>
            <w:r>
              <w:rPr>
                <w:rFonts w:ascii="仿宋_GB2312" w:hAnsi="仿宋_GB2312" w:cs="仿宋_GB2312" w:eastAsia="仿宋_GB2312"/>
                <w:sz w:val="21"/>
                <w:color w:val="000000"/>
              </w:rPr>
              <w:t>十万分之一电子称量系统1套；</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sz w:val="21"/>
                <w:color w:val="000000"/>
              </w:rPr>
              <w:t xml:space="preserve">3.10 </w:t>
            </w:r>
            <w:r>
              <w:rPr>
                <w:rFonts w:ascii="仿宋_GB2312" w:hAnsi="仿宋_GB2312" w:cs="仿宋_GB2312" w:eastAsia="仿宋_GB2312"/>
                <w:sz w:val="21"/>
                <w:color w:val="000000"/>
              </w:rPr>
              <w:t>全波长光吸收扫描配件1套；</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sz w:val="21"/>
                <w:color w:val="000000"/>
              </w:rPr>
              <w:t>3.11</w:t>
            </w:r>
            <w:r>
              <w:rPr>
                <w:rFonts w:ascii="仿宋_GB2312" w:hAnsi="仿宋_GB2312" w:cs="仿宋_GB2312" w:eastAsia="仿宋_GB2312"/>
                <w:sz w:val="21"/>
                <w:color w:val="000000"/>
              </w:rPr>
              <w:t>样品前处理分离系统1套；</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sz w:val="21"/>
                <w:color w:val="000000"/>
              </w:rPr>
              <w:t>3.12</w:t>
            </w:r>
            <w:r>
              <w:rPr>
                <w:rFonts w:ascii="仿宋_GB2312" w:hAnsi="仿宋_GB2312" w:cs="仿宋_GB2312" w:eastAsia="仿宋_GB2312"/>
                <w:sz w:val="21"/>
                <w:color w:val="000000"/>
              </w:rPr>
              <w:t>设备配套的方形比色皿1套，石英96微孔板2个。</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sz w:val="24"/>
              </w:rPr>
              <w:t>备注：</w:t>
            </w:r>
            <w:r>
              <w:rPr>
                <w:rFonts w:ascii="仿宋_GB2312" w:hAnsi="仿宋_GB2312" w:cs="仿宋_GB2312" w:eastAsia="仿宋_GB2312"/>
                <w:sz w:val="24"/>
              </w:rPr>
              <w:t>1</w:t>
            </w:r>
            <w:r>
              <w:rPr>
                <w:rFonts w:ascii="仿宋_GB2312" w:hAnsi="仿宋_GB2312" w:cs="仿宋_GB2312" w:eastAsia="仿宋_GB2312"/>
                <w:sz w:val="24"/>
              </w:rPr>
              <w:t>、以上所有技术指标必须满足要求没有负偏离，否则按无效文件处理；</w:t>
            </w:r>
          </w:p>
          <w:p>
            <w:pPr>
              <w:pStyle w:val="null3"/>
            </w:pPr>
            <w:r>
              <w:rPr>
                <w:rFonts w:ascii="仿宋_GB2312" w:hAnsi="仿宋_GB2312" w:cs="仿宋_GB2312" w:eastAsia="仿宋_GB2312"/>
                <w:sz w:val="24"/>
              </w:rPr>
              <w:t>2</w:t>
            </w:r>
            <w:r>
              <w:rPr>
                <w:rFonts w:ascii="仿宋_GB2312" w:hAnsi="仿宋_GB2312" w:cs="仿宋_GB2312" w:eastAsia="仿宋_GB2312"/>
                <w:sz w:val="24"/>
              </w:rPr>
              <w:t>、要求提供佐证材料的必须提供，否则视为负偏离，按无效文件处理。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西北大学城市与环境学院指定地点。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货物（进口设备国内供货）：合同生效后，乙方开具合同金额等额银行保函，甲方收到银行保函正本后预付合同货款，待货物到达指定地点、安装调试验收合格后，甲方退还银行保函正本；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2.售后服务效率要求：即时响应（包括电话响应）；电话响应无法解决时，48小时内到达现场。修复时间48小时内；如48小时内无法修复，应提供相应解决方案。 3.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4.为顺利推进政府采购电子化交易平台应用工作，供应商需要在线提交所有通过电子化交易平台实施的政府采购项目的响应文件，同时，线下递交密封完好的纸质版响应文件（一正一副），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5月1日以来至少一个月的纳税证明或完税证明（任意税种），纳税证明或完税证明上应有代收机构或税务机关的公章或业务专用章；其他组织和自然人提供自2025年5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提供自2025年5月1日以来至少一个月已缴纳的社会保障资金的证明（社会保障资金缴存单据或社保机构开具的社会保险参保缴费情况证明等)；依法不需要缴纳社会保障资金的供应商应提供相关证明文件。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签章符合谈判文件要求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谈判方案 技术响应偏离表 中小企业声明函 报价表 谈判保证金缴纳凭证 响应文件封面 其他材料 残疾人福利性单位声明函 供应商基本信息 标的清单 供应商企业关联关系说明书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实质性要求响应</w:t>
            </w:r>
          </w:p>
        </w:tc>
        <w:tc>
          <w:tcPr>
            <w:tcW w:type="dxa" w:w="3322"/>
          </w:tcPr>
          <w:p>
            <w:pPr>
              <w:pStyle w:val="null3"/>
            </w:pPr>
            <w:r>
              <w:rPr>
                <w:rFonts w:ascii="仿宋_GB2312" w:hAnsi="仿宋_GB2312" w:cs="仿宋_GB2312" w:eastAsia="仿宋_GB2312"/>
              </w:rPr>
              <w:t>供应商必须满足谈判文件的所有实质性条款</w:t>
            </w:r>
          </w:p>
        </w:tc>
        <w:tc>
          <w:tcPr>
            <w:tcW w:type="dxa" w:w="1661"/>
          </w:tcPr>
          <w:p>
            <w:pPr>
              <w:pStyle w:val="null3"/>
            </w:pPr>
            <w:r>
              <w:rPr>
                <w:rFonts w:ascii="仿宋_GB2312" w:hAnsi="仿宋_GB2312" w:cs="仿宋_GB2312" w:eastAsia="仿宋_GB2312"/>
              </w:rPr>
              <w:t>商务响应偏离表 谈判方案 技术响应偏离表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谈判保证金符合第二章供应商须知要求</w:t>
            </w:r>
          </w:p>
        </w:tc>
        <w:tc>
          <w:tcPr>
            <w:tcW w:type="dxa" w:w="1661"/>
          </w:tcPr>
          <w:p>
            <w:pPr>
              <w:pStyle w:val="null3"/>
            </w:pPr>
            <w:r>
              <w:rPr>
                <w:rFonts w:ascii="仿宋_GB2312" w:hAnsi="仿宋_GB2312" w:cs="仿宋_GB2312" w:eastAsia="仿宋_GB2312"/>
              </w:rPr>
              <w:t>谈判保证金缴纳凭证</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报价表 响应函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最终评审报价相同的，谈判小组优先推荐节能清单(非强制类)、环保清单内的产品，再按照综合技术指标优劣顺序推荐。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详见附件：谈判保证金缴纳凭证</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详见附件：供应商资格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