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版本号：ZX2025-10-3420251114002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频谱分析仪、无掩膜纳米光刻机等采购项目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ZX2025-10-34</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频谱分析仪、无掩膜纳米光刻机等采购项目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频谱分析仪、无掩膜纳米光刻机等采购项目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本项目为频谱分析仪、无掩膜纳米光刻机采购项目。具体内容详见招标文件第3章。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张浥清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采购包1保证金金额：10,103.40元</w:t>
            </w:r>
          </w:p>
          <w:p>
            <w:pPr>
              <w:pStyle w:val="null3"/>
            </w:pPr>
            <w:r>
              <w:rPr>
                <w:rFonts w:ascii="仿宋_GB2312" w:hAnsi="仿宋_GB2312" w:cs="仿宋_GB2312" w:eastAsia="仿宋_GB2312"/>
              </w:rPr>
              <w:t>采购包2保证金金额：21,034.00元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说明：签订合同前，中标人应向采购人缴纳成交金额5%的履约保证金。项目验收合格后，无异议，中标人提交申请，使用部门签字确认后一次性无息退还。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 说明：签订合同前，中标人应向采购人缴纳成交金额5%的履约保证金。项目验收合格后，无异议，中标人提交申请，使用部门签字确认后一次性无息退还。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本项目为频谱分析仪、无掩膜纳米光刻机采购项目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频谱分析仪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无掩膜纳米光刻机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标的名称：频谱分析仪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频谱分析仪</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设备用途：该设备主要用于接收光电传感器输出的电磁信号，并对该信号的频域特性进行分析。</w:t>
            </w:r>
          </w:p>
          <w:p>
            <w:pPr>
              <w:pStyle w:val="null3"/>
            </w:pPr>
            <w:r>
              <w:rPr>
                <w:rFonts w:ascii="仿宋_GB2312" w:hAnsi="仿宋_GB2312" w:cs="仿宋_GB2312" w:eastAsia="仿宋_GB2312"/>
              </w:rPr>
              <w:t>1.技术要求</w:t>
            </w:r>
          </w:p>
          <w:p>
            <w:pPr>
              <w:pStyle w:val="null3"/>
            </w:pPr>
            <w:r>
              <w:rPr>
                <w:rFonts w:ascii="仿宋_GB2312" w:hAnsi="仿宋_GB2312" w:cs="仿宋_GB2312" w:eastAsia="仿宋_GB2312"/>
              </w:rPr>
              <w:t>▲1.1频率范围：不小于5kHz～26.5GHz；</w:t>
            </w:r>
          </w:p>
          <w:p>
            <w:pPr>
              <w:pStyle w:val="null3"/>
            </w:pPr>
            <w:r>
              <w:rPr>
                <w:rFonts w:ascii="仿宋_GB2312" w:hAnsi="仿宋_GB2312" w:cs="仿宋_GB2312" w:eastAsia="仿宋_GB2312"/>
              </w:rPr>
              <w:t>1.2频率分辨率：≤0.01Hz；</w:t>
            </w:r>
          </w:p>
          <w:p>
            <w:pPr>
              <w:pStyle w:val="null3"/>
            </w:pPr>
            <w:r>
              <w:rPr>
                <w:rFonts w:ascii="仿宋_GB2312" w:hAnsi="仿宋_GB2312" w:cs="仿宋_GB2312" w:eastAsia="仿宋_GB2312"/>
              </w:rPr>
              <w:t>▲1.3频率精度：≤1×10–7</w:t>
            </w:r>
          </w:p>
          <w:p>
            <w:pPr>
              <w:pStyle w:val="null3"/>
            </w:pPr>
            <w:r>
              <w:rPr>
                <w:rFonts w:ascii="仿宋_GB2312" w:hAnsi="仿宋_GB2312" w:cs="仿宋_GB2312" w:eastAsia="仿宋_GB2312"/>
              </w:rPr>
              <w:t>1.4单边带相噪SSB(1 GHz中心频率)：</w:t>
            </w:r>
          </w:p>
          <w:p>
            <w:pPr>
              <w:pStyle w:val="null3"/>
            </w:pPr>
            <w:r>
              <w:rPr>
                <w:rFonts w:ascii="仿宋_GB2312" w:hAnsi="仿宋_GB2312" w:cs="仿宋_GB2312" w:eastAsia="仿宋_GB2312"/>
              </w:rPr>
              <w:t>▲1.4.1、 1 kHz偏移，≤-99 dBc/Hz，</w:t>
            </w:r>
          </w:p>
          <w:p>
            <w:pPr>
              <w:pStyle w:val="null3"/>
            </w:pPr>
            <w:r>
              <w:rPr>
                <w:rFonts w:ascii="仿宋_GB2312" w:hAnsi="仿宋_GB2312" w:cs="仿宋_GB2312" w:eastAsia="仿宋_GB2312"/>
              </w:rPr>
              <w:t>▲1.4.2、 10 kHz偏移，≤-105 dBc/Hz，</w:t>
            </w:r>
          </w:p>
          <w:p>
            <w:pPr>
              <w:pStyle w:val="null3"/>
            </w:pPr>
            <w:r>
              <w:rPr>
                <w:rFonts w:ascii="仿宋_GB2312" w:hAnsi="仿宋_GB2312" w:cs="仿宋_GB2312" w:eastAsia="仿宋_GB2312"/>
              </w:rPr>
              <w:t>▲1.4.3、 100 kHz偏移，≤-110 dBc/Hz，</w:t>
            </w:r>
          </w:p>
          <w:p>
            <w:pPr>
              <w:pStyle w:val="null3"/>
            </w:pPr>
            <w:r>
              <w:rPr>
                <w:rFonts w:ascii="仿宋_GB2312" w:hAnsi="仿宋_GB2312" w:cs="仿宋_GB2312" w:eastAsia="仿宋_GB2312"/>
              </w:rPr>
              <w:t>▲1.4.4、 1 MHz偏移，≤-130 dBc/Hz；</w:t>
            </w:r>
          </w:p>
          <w:p>
            <w:pPr>
              <w:pStyle w:val="null3"/>
            </w:pPr>
            <w:r>
              <w:rPr>
                <w:rFonts w:ascii="仿宋_GB2312" w:hAnsi="仿宋_GB2312" w:cs="仿宋_GB2312" w:eastAsia="仿宋_GB2312"/>
              </w:rPr>
              <w:t>1.5分辨率带宽(RBW)设置范围：1 Hz至10 MHz， 1/2/3/5 可调步进；</w:t>
            </w:r>
          </w:p>
          <w:p>
            <w:pPr>
              <w:pStyle w:val="null3"/>
            </w:pPr>
            <w:r>
              <w:rPr>
                <w:rFonts w:ascii="仿宋_GB2312" w:hAnsi="仿宋_GB2312" w:cs="仿宋_GB2312" w:eastAsia="仿宋_GB2312"/>
              </w:rPr>
              <w:t>1.6内置衰减器：0 dB 至 45 dB，1 dB 步进；</w:t>
            </w:r>
          </w:p>
          <w:p>
            <w:pPr>
              <w:pStyle w:val="null3"/>
            </w:pPr>
            <w:r>
              <w:rPr>
                <w:rFonts w:ascii="仿宋_GB2312" w:hAnsi="仿宋_GB2312" w:cs="仿宋_GB2312" w:eastAsia="仿宋_GB2312"/>
              </w:rPr>
              <w:t>1.7频率轴最大扫描点数：不低于100000；</w:t>
            </w:r>
          </w:p>
          <w:p>
            <w:pPr>
              <w:pStyle w:val="null3"/>
            </w:pPr>
            <w:r>
              <w:rPr>
                <w:rFonts w:ascii="仿宋_GB2312" w:hAnsi="仿宋_GB2312" w:cs="仿宋_GB2312" w:eastAsia="仿宋_GB2312"/>
              </w:rPr>
              <w:t>▲1.8具备模拟调制解调功能：AM，FM，PM；</w:t>
            </w:r>
          </w:p>
          <w:p>
            <w:pPr>
              <w:pStyle w:val="null3"/>
            </w:pPr>
            <w:r>
              <w:rPr>
                <w:rFonts w:ascii="仿宋_GB2312" w:hAnsi="仿宋_GB2312" w:cs="仿宋_GB2312" w:eastAsia="仿宋_GB2312"/>
              </w:rPr>
              <w:t>▲1.9具备多种通用数字制式信号解调功能：ASK，QPSK，FSK，QAM等，最大支持4096QAM；</w:t>
            </w:r>
          </w:p>
          <w:p>
            <w:pPr>
              <w:pStyle w:val="null3"/>
            </w:pPr>
            <w:r>
              <w:rPr>
                <w:rFonts w:ascii="仿宋_GB2312" w:hAnsi="仿宋_GB2312" w:cs="仿宋_GB2312" w:eastAsia="仿宋_GB2312"/>
              </w:rPr>
              <w:t>▲1.10具备EMI测试功能,内置符合CISPR标准的6dB检波器；</w:t>
            </w:r>
          </w:p>
          <w:p>
            <w:pPr>
              <w:pStyle w:val="null3"/>
            </w:pPr>
            <w:r>
              <w:rPr>
                <w:rFonts w:ascii="仿宋_GB2312" w:hAnsi="仿宋_GB2312" w:cs="仿宋_GB2312" w:eastAsia="仿宋_GB2312"/>
              </w:rPr>
              <w:t>1.11测试端口最大输入功率：30dBm；</w:t>
            </w:r>
          </w:p>
          <w:p>
            <w:pPr>
              <w:pStyle w:val="null3"/>
            </w:pPr>
            <w:r>
              <w:rPr>
                <w:rFonts w:ascii="仿宋_GB2312" w:hAnsi="仿宋_GB2312" w:cs="仿宋_GB2312" w:eastAsia="仿宋_GB2312"/>
              </w:rPr>
              <w:t>1.12具备矢量信号分析功能；</w:t>
            </w:r>
          </w:p>
          <w:p>
            <w:pPr>
              <w:pStyle w:val="null3"/>
            </w:pPr>
            <w:r>
              <w:rPr>
                <w:rFonts w:ascii="仿宋_GB2312" w:hAnsi="仿宋_GB2312" w:cs="仿宋_GB2312" w:eastAsia="仿宋_GB2312"/>
              </w:rPr>
              <w:t>1.13支持电池供电，使用时间不小于2小时；</w:t>
            </w:r>
          </w:p>
          <w:p>
            <w:pPr>
              <w:pStyle w:val="null3"/>
            </w:pPr>
            <w:r>
              <w:rPr>
                <w:rFonts w:ascii="仿宋_GB2312" w:hAnsi="仿宋_GB2312" w:cs="仿宋_GB2312" w:eastAsia="仿宋_GB2312"/>
              </w:rPr>
              <w:t>1.14 具备数据存储功能，存储内存≥512GB；界面具备触屏操作功能。</w:t>
            </w:r>
          </w:p>
          <w:p>
            <w:pPr>
              <w:pStyle w:val="null3"/>
            </w:pPr>
            <w:r>
              <w:rPr>
                <w:rFonts w:ascii="仿宋_GB2312" w:hAnsi="仿宋_GB2312" w:cs="仿宋_GB2312" w:eastAsia="仿宋_GB2312"/>
              </w:rPr>
              <w:t>1.15配备EMI近场探头套件，频率范围5kHz～3GHz，探头数量不少于三根；</w:t>
            </w:r>
          </w:p>
          <w:p>
            <w:pPr>
              <w:pStyle w:val="null3"/>
            </w:pPr>
            <w:r>
              <w:rPr>
                <w:rFonts w:ascii="仿宋_GB2312" w:hAnsi="仿宋_GB2312" w:cs="仿宋_GB2312" w:eastAsia="仿宋_GB2312"/>
              </w:rPr>
              <w:t>2.必要配置：</w:t>
            </w:r>
          </w:p>
          <w:p>
            <w:pPr>
              <w:pStyle w:val="null3"/>
            </w:pPr>
            <w:r>
              <w:rPr>
                <w:rFonts w:ascii="仿宋_GB2312" w:hAnsi="仿宋_GB2312" w:cs="仿宋_GB2312" w:eastAsia="仿宋_GB2312"/>
              </w:rPr>
              <w:t>2.1频谱分析仪主机      1套</w:t>
            </w:r>
          </w:p>
          <w:p>
            <w:pPr>
              <w:pStyle w:val="null3"/>
            </w:pPr>
            <w:r>
              <w:rPr>
                <w:rFonts w:ascii="仿宋_GB2312" w:hAnsi="仿宋_GB2312" w:cs="仿宋_GB2312" w:eastAsia="仿宋_GB2312"/>
              </w:rPr>
              <w:t>2.2 EMI近场探头套件    1套</w:t>
            </w:r>
          </w:p>
          <w:p>
            <w:pPr>
              <w:pStyle w:val="null3"/>
            </w:pPr>
            <w:r>
              <w:rPr>
                <w:rFonts w:ascii="仿宋_GB2312" w:hAnsi="仿宋_GB2312" w:cs="仿宋_GB2312" w:eastAsia="仿宋_GB2312"/>
              </w:rPr>
              <w:t>2.3 锂电池供电电源        1套</w:t>
            </w:r>
          </w:p>
          <w:p>
            <w:pPr>
              <w:pStyle w:val="null3"/>
            </w:pPr>
            <w:r>
              <w:rPr>
                <w:rFonts w:ascii="仿宋_GB2312" w:hAnsi="仿宋_GB2312" w:cs="仿宋_GB2312" w:eastAsia="仿宋_GB2312"/>
              </w:rPr>
              <w:t>3.技术服务：</w:t>
            </w:r>
          </w:p>
          <w:p>
            <w:pPr>
              <w:pStyle w:val="null3"/>
            </w:pPr>
            <w:r>
              <w:rPr>
                <w:rFonts w:ascii="仿宋_GB2312" w:hAnsi="仿宋_GB2312" w:cs="仿宋_GB2312" w:eastAsia="仿宋_GB2312"/>
              </w:rPr>
              <w:t>具备本地售后，为用户培训使用仪器的工作人员。其培训内容指的是仪器设备的基本原理、安装、调试、操作使用和日常保养维修等。</w:t>
            </w:r>
          </w:p>
          <w:p>
            <w:pPr>
              <w:pStyle w:val="null3"/>
            </w:pPr>
            <w:r>
              <w:rPr>
                <w:rFonts w:ascii="仿宋_GB2312" w:hAnsi="仿宋_GB2312" w:cs="仿宋_GB2312" w:eastAsia="仿宋_GB2312"/>
              </w:rPr>
              <w:t>4.性能试验与质量保证：</w:t>
            </w:r>
          </w:p>
          <w:p>
            <w:pPr>
              <w:pStyle w:val="null3"/>
            </w:pPr>
            <w:r>
              <w:rPr>
                <w:rFonts w:ascii="仿宋_GB2312" w:hAnsi="仿宋_GB2312" w:cs="仿宋_GB2312" w:eastAsia="仿宋_GB2312"/>
              </w:rPr>
              <w:t>4.1应对仪器设备的质量、规格、性能、数量进行详细和全面的检查，并出具检验证明，如有缺失，应负责赔偿。</w:t>
            </w:r>
          </w:p>
          <w:p>
            <w:pPr>
              <w:pStyle w:val="null3"/>
            </w:pPr>
            <w:r>
              <w:rPr>
                <w:rFonts w:ascii="仿宋_GB2312" w:hAnsi="仿宋_GB2312" w:cs="仿宋_GB2312" w:eastAsia="仿宋_GB2312"/>
              </w:rPr>
              <w:t>5.技术文件：提供仪器设备的操作手册。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标的名称：无掩膜纳米光刻机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无掩膜纳米光刻机</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设备用途：该设备主要应用于柔性材料微纳米图案化结构制备。</w:t>
            </w:r>
          </w:p>
          <w:p>
            <w:pPr>
              <w:pStyle w:val="null3"/>
            </w:pPr>
            <w:r>
              <w:rPr>
                <w:rFonts w:ascii="仿宋_GB2312" w:hAnsi="仿宋_GB2312" w:cs="仿宋_GB2312" w:eastAsia="仿宋_GB2312"/>
              </w:rPr>
              <w:t>1. 技术要求</w:t>
            </w:r>
          </w:p>
          <w:p>
            <w:pPr>
              <w:pStyle w:val="null3"/>
            </w:pPr>
            <w:r>
              <w:rPr>
                <w:rFonts w:ascii="仿宋_GB2312" w:hAnsi="仿宋_GB2312" w:cs="仿宋_GB2312" w:eastAsia="仿宋_GB2312"/>
              </w:rPr>
              <w:t>1.1高分辨无掩膜纳米光刻模块技术指标：</w:t>
            </w:r>
          </w:p>
          <w:p>
            <w:pPr>
              <w:pStyle w:val="null3"/>
            </w:pPr>
            <w:r>
              <w:rPr>
                <w:rFonts w:ascii="仿宋_GB2312" w:hAnsi="仿宋_GB2312" w:cs="仿宋_GB2312" w:eastAsia="仿宋_GB2312"/>
              </w:rPr>
              <w:t>1.1.1直写光源：405nm波长，高稳定性激光；</w:t>
            </w:r>
          </w:p>
          <w:p>
            <w:pPr>
              <w:pStyle w:val="null3"/>
            </w:pPr>
            <w:r>
              <w:rPr>
                <w:rFonts w:ascii="仿宋_GB2312" w:hAnsi="仿宋_GB2312" w:cs="仿宋_GB2312" w:eastAsia="仿宋_GB2312"/>
              </w:rPr>
              <w:t>▲1.1.2 可以构建1μm线宽的任意图形；</w:t>
            </w:r>
          </w:p>
          <w:p>
            <w:pPr>
              <w:pStyle w:val="null3"/>
            </w:pPr>
            <w:r>
              <w:rPr>
                <w:rFonts w:ascii="仿宋_GB2312" w:hAnsi="仿宋_GB2312" w:cs="仿宋_GB2312" w:eastAsia="仿宋_GB2312"/>
              </w:rPr>
              <w:t>▲1.1.3 特征结构间距：≤350nm（扫描电镜检测）；</w:t>
            </w:r>
          </w:p>
          <w:p>
            <w:pPr>
              <w:pStyle w:val="null3"/>
            </w:pPr>
            <w:r>
              <w:rPr>
                <w:rFonts w:ascii="仿宋_GB2312" w:hAnsi="仿宋_GB2312" w:cs="仿宋_GB2312" w:eastAsia="仿宋_GB2312"/>
              </w:rPr>
              <w:t>▲1.1.4 特征结构边缘平滑度：≤80 nm；</w:t>
            </w:r>
          </w:p>
          <w:p>
            <w:pPr>
              <w:pStyle w:val="null3"/>
            </w:pPr>
            <w:r>
              <w:rPr>
                <w:rFonts w:ascii="仿宋_GB2312" w:hAnsi="仿宋_GB2312" w:cs="仿宋_GB2312" w:eastAsia="仿宋_GB2312"/>
              </w:rPr>
              <w:t>▲1.1.5 套刻精度：不大于±400nm；</w:t>
            </w:r>
          </w:p>
          <w:p>
            <w:pPr>
              <w:pStyle w:val="null3"/>
            </w:pPr>
            <w:r>
              <w:rPr>
                <w:rFonts w:ascii="仿宋_GB2312" w:hAnsi="仿宋_GB2312" w:cs="仿宋_GB2312" w:eastAsia="仿宋_GB2312"/>
              </w:rPr>
              <w:t>1.1.6 内部观察相机：高分辨1200w 彩色CMOS相机，暗场照明，具有三色光可调；</w:t>
            </w:r>
          </w:p>
          <w:p>
            <w:pPr>
              <w:pStyle w:val="null3"/>
            </w:pPr>
            <w:r>
              <w:rPr>
                <w:rFonts w:ascii="仿宋_GB2312" w:hAnsi="仿宋_GB2312" w:cs="仿宋_GB2312" w:eastAsia="仿宋_GB2312"/>
              </w:rPr>
              <w:t>1.1.7 基板尺寸：最小20mm*20mm，最大100mm*100mm；</w:t>
            </w:r>
          </w:p>
          <w:p>
            <w:pPr>
              <w:pStyle w:val="null3"/>
            </w:pPr>
            <w:r>
              <w:rPr>
                <w:rFonts w:ascii="仿宋_GB2312" w:hAnsi="仿宋_GB2312" w:cs="仿宋_GB2312" w:eastAsia="仿宋_GB2312"/>
              </w:rPr>
              <w:t>1.1.8 直写模式：高精度声光偏转器AOD激光直写，支持离焦直写模式，最大离焦范围20μm；</w:t>
            </w:r>
          </w:p>
          <w:p>
            <w:pPr>
              <w:pStyle w:val="null3"/>
            </w:pPr>
            <w:r>
              <w:rPr>
                <w:rFonts w:ascii="仿宋_GB2312" w:hAnsi="仿宋_GB2312" w:cs="仿宋_GB2312" w:eastAsia="仿宋_GB2312"/>
              </w:rPr>
              <w:t>1.1.9 激光直写速度：≥100000点/秒；</w:t>
            </w:r>
          </w:p>
          <w:p>
            <w:pPr>
              <w:pStyle w:val="null3"/>
            </w:pPr>
            <w:r>
              <w:rPr>
                <w:rFonts w:ascii="仿宋_GB2312" w:hAnsi="仿宋_GB2312" w:cs="仿宋_GB2312" w:eastAsia="仿宋_GB2312"/>
              </w:rPr>
              <w:t>1.1.10 直写工具：1微米和3微米直写工具，全自动控制，可自定义区域；</w:t>
            </w:r>
          </w:p>
          <w:p>
            <w:pPr>
              <w:pStyle w:val="null3"/>
            </w:pPr>
            <w:r>
              <w:rPr>
                <w:rFonts w:ascii="仿宋_GB2312" w:hAnsi="仿宋_GB2312" w:cs="仿宋_GB2312" w:eastAsia="仿宋_GB2312"/>
              </w:rPr>
              <w:t>1.1.11 光斑定位分辨率：≤1nm；</w:t>
            </w:r>
          </w:p>
          <w:p>
            <w:pPr>
              <w:pStyle w:val="null3"/>
            </w:pPr>
            <w:r>
              <w:rPr>
                <w:rFonts w:ascii="仿宋_GB2312" w:hAnsi="仿宋_GB2312" w:cs="仿宋_GB2312" w:eastAsia="仿宋_GB2312"/>
              </w:rPr>
              <w:t>1.1.12 光斑间距调整范围：12nm-3μm；</w:t>
            </w:r>
          </w:p>
          <w:p>
            <w:pPr>
              <w:pStyle w:val="null3"/>
            </w:pPr>
            <w:r>
              <w:rPr>
                <w:rFonts w:ascii="仿宋_GB2312" w:hAnsi="仿宋_GB2312" w:cs="仿宋_GB2312" w:eastAsia="仿宋_GB2312"/>
              </w:rPr>
              <w:t>1.1.13 写场间拼接精度：±500nm；</w:t>
            </w:r>
          </w:p>
          <w:p>
            <w:pPr>
              <w:pStyle w:val="null3"/>
            </w:pPr>
            <w:r>
              <w:rPr>
                <w:rFonts w:ascii="仿宋_GB2312" w:hAnsi="仿宋_GB2312" w:cs="仿宋_GB2312" w:eastAsia="仿宋_GB2312"/>
              </w:rPr>
              <w:t>1.1.14文件格式：支持Gerber DXF BMP等；</w:t>
            </w:r>
          </w:p>
          <w:p>
            <w:pPr>
              <w:pStyle w:val="null3"/>
            </w:pPr>
            <w:r>
              <w:rPr>
                <w:rFonts w:ascii="仿宋_GB2312" w:hAnsi="仿宋_GB2312" w:cs="仿宋_GB2312" w:eastAsia="仿宋_GB2312"/>
              </w:rPr>
              <w:t>1.1.15软件要求：支持图形文件的直接导入、复制、阵列生成、旋转、镜像、擦除修改、缩放、组合、拆分、栅格化以及定义光刻图层等功能。设计图案应包括但不限于直线、曲线、线段、圆、矩形、多边形、自由曲线和自由图形等，并能够实现线与面之间相互转换。支持软拼接功能，能够自主选择软拼接或位移台直接拼接。具备激光自动校准，以及激光、位移台、冷却和自动调焦调平等工作异常报警功能。具备智能化管理功能，当激光长时间不工作时，系统控制自动休眠激光，以延长使用寿命。内置校准文件、二维图形设计软件模块和图形化曝光控制，实现自动控制光斑尺寸、光斑间距和离焦距离，从而获取不同平滑度（如锐利、陡直和平滑等），并将相应参数设定和图形设计实时显示。</w:t>
            </w:r>
          </w:p>
          <w:p>
            <w:pPr>
              <w:pStyle w:val="null3"/>
            </w:pPr>
            <w:r>
              <w:rPr>
                <w:rFonts w:ascii="仿宋_GB2312" w:hAnsi="仿宋_GB2312" w:cs="仿宋_GB2312" w:eastAsia="仿宋_GB2312"/>
              </w:rPr>
              <w:t>1.2 恒温循环冷却模块指标：</w:t>
            </w:r>
          </w:p>
          <w:p>
            <w:pPr>
              <w:pStyle w:val="null3"/>
            </w:pPr>
            <w:r>
              <w:rPr>
                <w:rFonts w:ascii="仿宋_GB2312" w:hAnsi="仿宋_GB2312" w:cs="仿宋_GB2312" w:eastAsia="仿宋_GB2312"/>
              </w:rPr>
              <w:t>1.2.1 高性能无压缩机水冷系统；</w:t>
            </w:r>
          </w:p>
          <w:p>
            <w:pPr>
              <w:pStyle w:val="null3"/>
            </w:pPr>
            <w:r>
              <w:rPr>
                <w:rFonts w:ascii="仿宋_GB2312" w:hAnsi="仿宋_GB2312" w:cs="仿宋_GB2312" w:eastAsia="仿宋_GB2312"/>
              </w:rPr>
              <w:t>1.2.2 电源：220VAC，50Hz；</w:t>
            </w:r>
          </w:p>
          <w:p>
            <w:pPr>
              <w:pStyle w:val="null3"/>
            </w:pPr>
            <w:r>
              <w:rPr>
                <w:rFonts w:ascii="仿宋_GB2312" w:hAnsi="仿宋_GB2312" w:cs="仿宋_GB2312" w:eastAsia="仿宋_GB2312"/>
              </w:rPr>
              <w:t>1.2.3 最大制冷量：240W@环境温度；</w:t>
            </w:r>
          </w:p>
          <w:p>
            <w:pPr>
              <w:pStyle w:val="null3"/>
            </w:pPr>
            <w:r>
              <w:rPr>
                <w:rFonts w:ascii="仿宋_GB2312" w:hAnsi="仿宋_GB2312" w:cs="仿宋_GB2312" w:eastAsia="仿宋_GB2312"/>
              </w:rPr>
              <w:t>▲1.2.4 冷却水温度：-5到45℃，可自动控制调节；</w:t>
            </w:r>
          </w:p>
          <w:p>
            <w:pPr>
              <w:pStyle w:val="null3"/>
            </w:pPr>
            <w:r>
              <w:rPr>
                <w:rFonts w:ascii="仿宋_GB2312" w:hAnsi="仿宋_GB2312" w:cs="仿宋_GB2312" w:eastAsia="仿宋_GB2312"/>
              </w:rPr>
              <w:t>▲1.2.5 控温精度：±0.1℃；</w:t>
            </w:r>
          </w:p>
          <w:p>
            <w:pPr>
              <w:pStyle w:val="null3"/>
            </w:pPr>
            <w:r>
              <w:rPr>
                <w:rFonts w:ascii="仿宋_GB2312" w:hAnsi="仿宋_GB2312" w:cs="仿宋_GB2312" w:eastAsia="仿宋_GB2312"/>
              </w:rPr>
              <w:t>▲1.2.6 冷却水流量：≥3 L/min；</w:t>
            </w:r>
          </w:p>
          <w:p>
            <w:pPr>
              <w:pStyle w:val="null3"/>
            </w:pPr>
            <w:r>
              <w:rPr>
                <w:rFonts w:ascii="仿宋_GB2312" w:hAnsi="仿宋_GB2312" w:cs="仿宋_GB2312" w:eastAsia="仿宋_GB2312"/>
              </w:rPr>
              <w:t>1.2.7 最大压头：3 bar；</w:t>
            </w:r>
          </w:p>
          <w:p>
            <w:pPr>
              <w:pStyle w:val="null3"/>
            </w:pPr>
            <w:r>
              <w:rPr>
                <w:rFonts w:ascii="仿宋_GB2312" w:hAnsi="仿宋_GB2312" w:cs="仿宋_GB2312" w:eastAsia="仿宋_GB2312"/>
              </w:rPr>
              <w:t>1.2.8噪音等级：≤65dB；</w:t>
            </w:r>
          </w:p>
          <w:p>
            <w:pPr>
              <w:pStyle w:val="null3"/>
            </w:pPr>
            <w:r>
              <w:rPr>
                <w:rFonts w:ascii="仿宋_GB2312" w:hAnsi="仿宋_GB2312" w:cs="仿宋_GB2312" w:eastAsia="仿宋_GB2312"/>
              </w:rPr>
              <w:t>1.2.9恒温系统与光刻系统可同步控制，同步工作。光刻系统工作状态下保持内部整体控温精度为±0.1℃。</w:t>
            </w:r>
          </w:p>
          <w:p>
            <w:pPr>
              <w:pStyle w:val="null3"/>
            </w:pPr>
            <w:r>
              <w:rPr>
                <w:rFonts w:ascii="仿宋_GB2312" w:hAnsi="仿宋_GB2312" w:cs="仿宋_GB2312" w:eastAsia="仿宋_GB2312"/>
              </w:rPr>
              <w:t>2. 必要配置</w:t>
            </w:r>
          </w:p>
          <w:p>
            <w:pPr>
              <w:pStyle w:val="null3"/>
            </w:pPr>
            <w:r>
              <w:rPr>
                <w:rFonts w:ascii="仿宋_GB2312" w:hAnsi="仿宋_GB2312" w:cs="仿宋_GB2312" w:eastAsia="仿宋_GB2312"/>
              </w:rPr>
              <w:t>2.1 光刻机专用光学平台 1套（垂直方向，5Hz-10Hz时，隔振效率≥90%；水平方向，5Hz-10Hz时，隔振效率≥92%）</w:t>
            </w:r>
          </w:p>
          <w:p>
            <w:pPr>
              <w:pStyle w:val="null3"/>
            </w:pPr>
            <w:r>
              <w:rPr>
                <w:rFonts w:ascii="仿宋_GB2312" w:hAnsi="仿宋_GB2312" w:cs="仿宋_GB2312" w:eastAsia="仿宋_GB2312"/>
              </w:rPr>
              <w:t>2.2 配置UPS延时电源一套，延时主机1小时以上。</w:t>
            </w:r>
          </w:p>
          <w:p>
            <w:pPr>
              <w:pStyle w:val="null3"/>
            </w:pPr>
            <w:r>
              <w:rPr>
                <w:rFonts w:ascii="仿宋_GB2312" w:hAnsi="仿宋_GB2312" w:cs="仿宋_GB2312" w:eastAsia="仿宋_GB2312"/>
              </w:rPr>
              <w:t>2.3配置与主机相匹配的工作站，不低于以下配置：处理器基础频率2.9GHz以上；固态硬盘不小于1TB；可刻录式光驱；内存不小于32 GB；27英寸液晶显示器。</w:t>
            </w:r>
          </w:p>
          <w:p>
            <w:pPr>
              <w:pStyle w:val="null3"/>
            </w:pPr>
            <w:r>
              <w:rPr>
                <w:rFonts w:ascii="仿宋_GB2312" w:hAnsi="仿宋_GB2312" w:cs="仿宋_GB2312" w:eastAsia="仿宋_GB2312"/>
              </w:rPr>
              <w:t>2.4完成设备安装的准备工作。</w:t>
            </w:r>
          </w:p>
          <w:p>
            <w:pPr>
              <w:pStyle w:val="null3"/>
            </w:pPr>
            <w:r>
              <w:rPr>
                <w:rFonts w:ascii="仿宋_GB2312" w:hAnsi="仿宋_GB2312" w:cs="仿宋_GB2312" w:eastAsia="仿宋_GB2312"/>
              </w:rPr>
              <w:t>3.技术服务</w:t>
            </w:r>
          </w:p>
          <w:p>
            <w:pPr>
              <w:pStyle w:val="null3"/>
            </w:pPr>
            <w:r>
              <w:rPr>
                <w:rFonts w:ascii="仿宋_GB2312" w:hAnsi="仿宋_GB2312" w:cs="仿宋_GB2312" w:eastAsia="仿宋_GB2312"/>
              </w:rPr>
              <w:t>3.1具备本地售后，为用户培训使用仪器的工作人员。其培训内容指的是仪器设备的基本原理、安装、调试、操作使用和日常保养维修等。</w:t>
            </w:r>
          </w:p>
          <w:p>
            <w:pPr>
              <w:pStyle w:val="null3"/>
            </w:pPr>
            <w:r>
              <w:rPr>
                <w:rFonts w:ascii="仿宋_GB2312" w:hAnsi="仿宋_GB2312" w:cs="仿宋_GB2312" w:eastAsia="仿宋_GB2312"/>
              </w:rPr>
              <w:t>4.性能试验与质量保证</w:t>
            </w:r>
          </w:p>
          <w:p>
            <w:pPr>
              <w:pStyle w:val="null3"/>
            </w:pPr>
            <w:r>
              <w:rPr>
                <w:rFonts w:ascii="仿宋_GB2312" w:hAnsi="仿宋_GB2312" w:cs="仿宋_GB2312" w:eastAsia="仿宋_GB2312"/>
              </w:rPr>
              <w:t>4.1应对仪器设备的质量、规格、性能、数量进行详细和全面的检查，并出具检验证明，如有缺失，应负责赔偿。</w:t>
            </w:r>
          </w:p>
          <w:p>
            <w:pPr>
              <w:pStyle w:val="null3"/>
            </w:pPr>
            <w:r>
              <w:rPr>
                <w:rFonts w:ascii="仿宋_GB2312" w:hAnsi="仿宋_GB2312" w:cs="仿宋_GB2312" w:eastAsia="仿宋_GB2312"/>
              </w:rPr>
              <w:t>5.技术文件：提供仪器设备的操作手册。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因系统受限，具体详见其他要求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因系统受限，具体详见其他要求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自仪器安装调试合格之日起保修一年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自仪器安装调试合格之日起保修一年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采购包1、2： 3.5.1 因电子化格式有限，投标人还需对以下支付约定进行响应：投标人须自行选择以下任一付款方式。只能唯一响应，不接受选择性响应，否则视为未实质性响应招标文件要求。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3.5.2投标人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如果是双面打印的投标文件，按双面打码）， 在封口处加盖供应商公章；纸质投标文件递交截止时间与线上开评标时间一致；纸质投标文件可邮寄递交，应于递交投标文件截止时间前邮寄到代理机构。 3.5.3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承诺函、其他资料.docx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满足本招标文件3.4商务要求中交货时间、交货地点、支付约定、质量保修范围和保修期要求的；以及对3.5其他要求中3.5.1付款方式进行唯一响应的；</w:t>
            </w:r>
          </w:p>
        </w:tc>
        <w:tc>
          <w:tcPr>
            <w:tcW w:type="dxa" w:w="1661"/>
          </w:tcPr>
          <w:p>
            <w:pPr>
              <w:pStyle w:val="null3"/>
            </w:pPr>
            <w:r>
              <w:rPr>
                <w:rFonts w:ascii="仿宋_GB2312" w:hAnsi="仿宋_GB2312" w:cs="仿宋_GB2312" w:eastAsia="仿宋_GB2312"/>
              </w:rPr>
              <w:t>投标文件封面 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 承诺函、其他资料.docx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承诺函、其他资料.docx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满足本招标文件3.4商务要求中交货时间、交货地点、支付约定、质量保修范围和保修期要求的；以及对3.5其他要求中3.5.1付款方式进行唯一响应的</w:t>
            </w:r>
          </w:p>
        </w:tc>
        <w:tc>
          <w:tcPr>
            <w:tcW w:type="dxa" w:w="1661"/>
          </w:tcPr>
          <w:p>
            <w:pPr>
              <w:pStyle w:val="null3"/>
            </w:pPr>
            <w:r>
              <w:rPr>
                <w:rFonts w:ascii="仿宋_GB2312" w:hAnsi="仿宋_GB2312" w:cs="仿宋_GB2312" w:eastAsia="仿宋_GB2312"/>
              </w:rPr>
              <w:t>投标文件封面 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 承诺函、其他资料.docx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投标人完全响应技术要求（1.技术要求）无偏离计30分，标注“▲”号参数为重要技术指标，每负偏离一项扣2分；未标注“▲”号参数每负偏离一项扣1.35分。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满足项目实施需求，无瑕疵，计8分； 每存在一处瑕疵扣1分； 存在8处及以上瑕疵或未提供，不计分。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投标人完全响应技术要求（1.技术要求-2.必要配置）无偏离计30分，标注“▲”号参数为重要技术指标，每负偏离一项扣2分；未标注“▲”号参数每负偏离一项扣0.76分。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满足项目实施需求，无瑕疵，计8分； 每存在一处瑕疵扣1分； 存在8处及以上瑕疵或未提供，不计分。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详见附件：3产品性能.docx</w:t>
      </w:r>
    </w:p>
    <w:p>
      <w:pPr>
        <w:pStyle w:val="null3"/>
        <w:ind w:firstLine="960"/>
      </w:pPr>
      <w:r>
        <w:rPr>
          <w:rFonts w:ascii="仿宋_GB2312" w:hAnsi="仿宋_GB2312" w:cs="仿宋_GB2312" w:eastAsia="仿宋_GB2312"/>
        </w:rPr>
        <w:t>详见附件：4质量保证方案.docx</w:t>
      </w:r>
    </w:p>
    <w:p>
      <w:pPr>
        <w:pStyle w:val="null3"/>
        <w:ind w:firstLine="960"/>
      </w:pPr>
      <w:r>
        <w:rPr>
          <w:rFonts w:ascii="仿宋_GB2312" w:hAnsi="仿宋_GB2312" w:cs="仿宋_GB2312" w:eastAsia="仿宋_GB2312"/>
        </w:rPr>
        <w:t>详见附件：5培训方案.docx</w:t>
      </w:r>
    </w:p>
    <w:p>
      <w:pPr>
        <w:pStyle w:val="null3"/>
        <w:ind w:firstLine="960"/>
      </w:pPr>
      <w:r>
        <w:rPr>
          <w:rFonts w:ascii="仿宋_GB2312" w:hAnsi="仿宋_GB2312" w:cs="仿宋_GB2312" w:eastAsia="仿宋_GB2312"/>
        </w:rPr>
        <w:t>详见附件：6售后服务方案.docx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详见附件：8节能环保.docx</w:t>
      </w:r>
    </w:p>
    <w:p>
      <w:pPr>
        <w:pStyle w:val="null3"/>
        <w:ind w:firstLine="960"/>
      </w:pPr>
      <w:r>
        <w:rPr>
          <w:rFonts w:ascii="仿宋_GB2312" w:hAnsi="仿宋_GB2312" w:cs="仿宋_GB2312" w:eastAsia="仿宋_GB2312"/>
        </w:rPr>
        <w:t>详见附件：承诺函、其他资料.docx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详见附件：3产品性能.docx</w:t>
      </w:r>
    </w:p>
    <w:p>
      <w:pPr>
        <w:pStyle w:val="null3"/>
        <w:ind w:firstLine="960"/>
      </w:pPr>
      <w:r>
        <w:rPr>
          <w:rFonts w:ascii="仿宋_GB2312" w:hAnsi="仿宋_GB2312" w:cs="仿宋_GB2312" w:eastAsia="仿宋_GB2312"/>
        </w:rPr>
        <w:t>详见附件：4质量保证方案.docx</w:t>
      </w:r>
    </w:p>
    <w:p>
      <w:pPr>
        <w:pStyle w:val="null3"/>
        <w:ind w:firstLine="960"/>
      </w:pPr>
      <w:r>
        <w:rPr>
          <w:rFonts w:ascii="仿宋_GB2312" w:hAnsi="仿宋_GB2312" w:cs="仿宋_GB2312" w:eastAsia="仿宋_GB2312"/>
        </w:rPr>
        <w:t>详见附件：5培训方案.docx</w:t>
      </w:r>
    </w:p>
    <w:p>
      <w:pPr>
        <w:pStyle w:val="null3"/>
        <w:ind w:firstLine="960"/>
      </w:pPr>
      <w:r>
        <w:rPr>
          <w:rFonts w:ascii="仿宋_GB2312" w:hAnsi="仿宋_GB2312" w:cs="仿宋_GB2312" w:eastAsia="仿宋_GB2312"/>
        </w:rPr>
        <w:t>详见附件：6售后服务方案.docx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详见附件：8节能环保.docx</w:t>
      </w:r>
    </w:p>
    <w:p>
      <w:pPr>
        <w:pStyle w:val="null3"/>
        <w:ind w:firstLine="960"/>
      </w:pPr>
      <w:r>
        <w:rPr>
          <w:rFonts w:ascii="仿宋_GB2312" w:hAnsi="仿宋_GB2312" w:cs="仿宋_GB2312" w:eastAsia="仿宋_GB2312"/>
        </w:rPr>
        <w:t>详见附件：承诺函、其他资料.docx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