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版本号：ZMZB2025GFGY-43620251112001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AI校园基座及应用平台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ZMZB2025GFGY-436</w:t>
      </w:r>
      <w:r>
        <w:br/>
      </w:r>
      <w:r>
        <w:br/>
      </w:r>
      <w:r>
        <w:br/>
      </w:r>
    </w:p>
    <w:p>
      <w:pPr>
        <w:pStyle w:val="null3"/>
        <w:jc w:val="center"/>
        <w:outlineLvl w:val="2"/>
      </w:pPr>
      <w:r>
        <w:rPr>
          <w:rFonts w:ascii="仿宋_GB2312" w:hAnsi="仿宋_GB2312" w:cs="仿宋_GB2312" w:eastAsia="仿宋_GB2312"/>
          <w:sz w:val="28"/>
          <w:b/>
        </w:rPr>
        <w:t>陕西国防工业职业技术学院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陕西国防工业职业技术学院</w:t>
      </w:r>
      <w:r>
        <w:rPr>
          <w:rFonts w:ascii="仿宋_GB2312" w:hAnsi="仿宋_GB2312" w:cs="仿宋_GB2312" w:eastAsia="仿宋_GB2312"/>
        </w:rPr>
        <w:t>委托，拟对</w:t>
      </w:r>
      <w:r>
        <w:rPr>
          <w:rFonts w:ascii="仿宋_GB2312" w:hAnsi="仿宋_GB2312" w:cs="仿宋_GB2312" w:eastAsia="仿宋_GB2312"/>
        </w:rPr>
        <w:t>AI校园基座及应用平台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ZMZB2025GFGY-436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AI校园基座及应用平台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AI校园基座及应用平台项目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w:t>
      </w:r>
    </w:p>
    <w:p>
      <w:pPr>
        <w:pStyle w:val="null3"/>
      </w:pPr>
      <w:r>
        <w:rPr>
          <w:rFonts w:ascii="仿宋_GB2312" w:hAnsi="仿宋_GB2312" w:cs="仿宋_GB2312" w:eastAsia="仿宋_GB2312"/>
        </w:rPr>
        <w:t>3、具有履行合同所必需的设备和专业技术能力的书面声明：具有履行合同所必需的设备和专业技术能力的书面声明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4、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7、授权委托书：非法定代表人参加磋商的，须提供法定代表人委托授权书，法定代表人参加磋商时,只须提供法定代表人身份证</w:t>
      </w:r>
    </w:p>
    <w:p>
      <w:pPr>
        <w:pStyle w:val="null3"/>
      </w:pPr>
      <w:r>
        <w:rPr>
          <w:rFonts w:ascii="仿宋_GB2312" w:hAnsi="仿宋_GB2312" w:cs="仿宋_GB2312" w:eastAsia="仿宋_GB2312"/>
        </w:rPr>
        <w:t>8、本项目不接受联合体响应：提供非联合体声明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陕西国防工业职业技术学院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西安市鄠邑区人民路八号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029-81480108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收取（含税），按照中标金额差额定率累进法计算，由中标/成交单位一次性支付给乙方。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陕西国防工业职业技术学院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陕西国防工业职业技术学院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陕西国防工业职业技术学院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按采购文件、投标文件及合同约定执行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AI校园基座及应用平台项目采用混合式AI算力部署方案，以通用大模型为基座，收集学校业务相关信息，通过数据清洗、语义分割、文本分类、知识蒸馏等技术，生成高质量数据集，形成校园私有大模型，建立校级AI应用服务平台，开放给学校各部门根据自身业务需求建立智能体，开发智能问答、办事助手等应用，以轻应用方式植入校园APP、微信公众号等平台，面向全校师生提供AI智能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教育大模型基座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标的名称：教育大模型基座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教育大模型基座1套</w:t>
            </w:r>
          </w:p>
          <w:p>
            <w:pPr>
              <w:pStyle w:val="null3"/>
            </w:pPr>
            <w:r>
              <w:rPr>
                <w:rFonts w:ascii="仿宋_GB2312" w:hAnsi="仿宋_GB2312" w:cs="仿宋_GB2312" w:eastAsia="仿宋_GB2312"/>
              </w:rPr>
              <w:t>一、整体要求：</w:t>
            </w:r>
          </w:p>
          <w:p>
            <w:pPr>
              <w:pStyle w:val="null3"/>
            </w:pPr>
            <w:r>
              <w:rPr>
                <w:rFonts w:ascii="仿宋_GB2312" w:hAnsi="仿宋_GB2312" w:cs="仿宋_GB2312" w:eastAsia="仿宋_GB2312"/>
              </w:rPr>
              <w:t>（1）教育大模型以通用大模型为基座，收集学校、课程等教育相关信息，通过数据清洗、语义分割、文本分类、知识蒸馏等技术，生成高质量数据集，实现全参数微调，形成教育垂直领域的自有大模型。同时在上层结合自研RAG模型，完成知识库建立，提供高效的知识检索能力。同时可针对性搭配数字人，以拟人的方式对外提供交互。</w:t>
            </w:r>
          </w:p>
          <w:p>
            <w:pPr>
              <w:pStyle w:val="null3"/>
            </w:pPr>
            <w:r>
              <w:rPr>
                <w:rFonts w:ascii="仿宋_GB2312" w:hAnsi="仿宋_GB2312" w:cs="仿宋_GB2312" w:eastAsia="仿宋_GB2312"/>
              </w:rPr>
              <w:t>（2）采用面向对象的组件技术，着重于开发构成应用程序“业务对象”的可重复使用组件，利用组件顺利地建立分布式应用程序，并通过业务组件库实现行业知识的积累。组件之间可以继承，组件之间从物理和逻辑上隔离的。</w:t>
            </w:r>
          </w:p>
          <w:p>
            <w:pPr>
              <w:pStyle w:val="null3"/>
            </w:pPr>
            <w:r>
              <w:rPr>
                <w:rFonts w:ascii="仿宋_GB2312" w:hAnsi="仿宋_GB2312" w:cs="仿宋_GB2312" w:eastAsia="仿宋_GB2312"/>
              </w:rPr>
              <w:t>（3）系统要充分利用现有先进技术手段，采用相同的体系结构和运行平台，基于多层架构和组件技术进行构建。所有应用逻辑、流程、数据等都应当能够根据实际业务要求的颗粒度进行封装。</w:t>
            </w:r>
          </w:p>
          <w:p>
            <w:pPr>
              <w:pStyle w:val="null3"/>
            </w:pPr>
            <w:r>
              <w:rPr>
                <w:rFonts w:ascii="仿宋_GB2312" w:hAnsi="仿宋_GB2312" w:cs="仿宋_GB2312" w:eastAsia="仿宋_GB2312"/>
              </w:rPr>
              <w:t>▲（4）平台需支持与学校统一身份认证进行对接，并提供系统对接佐证材料，投标人需提供详细与统一身份认证对接技术方案。</w:t>
            </w:r>
          </w:p>
          <w:p>
            <w:pPr>
              <w:pStyle w:val="null3"/>
            </w:pPr>
            <w:r>
              <w:rPr>
                <w:rFonts w:ascii="仿宋_GB2312" w:hAnsi="仿宋_GB2312" w:cs="仿宋_GB2312" w:eastAsia="仿宋_GB2312"/>
              </w:rPr>
              <w:t>（5）平台能完成本项目业务流程及相对应的分级授权体系，实现不同用户角色个性化服务。</w:t>
            </w:r>
          </w:p>
          <w:p>
            <w:pPr>
              <w:pStyle w:val="null3"/>
            </w:pPr>
            <w:r>
              <w:rPr>
                <w:rFonts w:ascii="仿宋_GB2312" w:hAnsi="仿宋_GB2312" w:cs="仿宋_GB2312" w:eastAsia="仿宋_GB2312"/>
              </w:rPr>
              <w:t>▲（6）平台需全面适配主流信创技术包括不限于C86和Arm框架等，支持服务器操作系统、数据库、中间件、客户端、应用软件等信创环境适配。</w:t>
            </w:r>
          </w:p>
          <w:p>
            <w:pPr>
              <w:pStyle w:val="null3"/>
            </w:pPr>
            <w:r>
              <w:rPr>
                <w:rFonts w:ascii="仿宋_GB2312" w:hAnsi="仿宋_GB2312" w:cs="仿宋_GB2312" w:eastAsia="仿宋_GB2312"/>
              </w:rPr>
              <w:t>二、数据管理</w:t>
            </w:r>
          </w:p>
          <w:p>
            <w:pPr>
              <w:pStyle w:val="null3"/>
            </w:pPr>
            <w:r>
              <w:rPr>
                <w:rFonts w:ascii="仿宋_GB2312" w:hAnsi="仿宋_GB2312" w:cs="仿宋_GB2312" w:eastAsia="仿宋_GB2312"/>
              </w:rPr>
              <w:t>（1）数据采集与存储：设计基于ETL流水线的高效数据采集模块，支持从多种数据源（如教务系统、考勤系统、在线学习平台等业务系统，或者直接读取数据中台开放数据）自动提取数据。通过数据清洗和数据转换工具，确保数据的结构化和高质量存储，并提供高可用性的数据备份和恢复功能；</w:t>
            </w:r>
          </w:p>
          <w:p>
            <w:pPr>
              <w:pStyle w:val="null3"/>
            </w:pPr>
            <w:r>
              <w:rPr>
                <w:rFonts w:ascii="仿宋_GB2312" w:hAnsi="仿宋_GB2312" w:cs="仿宋_GB2312" w:eastAsia="仿宋_GB2312"/>
              </w:rPr>
              <w:t>（2）数据标签与分类：为不同类型的数据添加标签和分类，支持自定义标签和分类规则。</w:t>
            </w:r>
          </w:p>
          <w:p>
            <w:pPr>
              <w:pStyle w:val="null3"/>
            </w:pPr>
            <w:r>
              <w:rPr>
                <w:rFonts w:ascii="仿宋_GB2312" w:hAnsi="仿宋_GB2312" w:cs="仿宋_GB2312" w:eastAsia="仿宋_GB2312"/>
              </w:rPr>
              <w:t>三、模型管理</w:t>
            </w:r>
          </w:p>
          <w:p>
            <w:pPr>
              <w:pStyle w:val="null3"/>
            </w:pPr>
            <w:r>
              <w:rPr>
                <w:rFonts w:ascii="仿宋_GB2312" w:hAnsi="仿宋_GB2312" w:cs="仿宋_GB2312" w:eastAsia="仿宋_GB2312"/>
              </w:rPr>
              <w:t>（1）GPU资源管理：提供GPU集群管理，实时查看GPU状态、资源利用率、模型状态等数据，支持基于Kubernetes的资源编排；</w:t>
            </w:r>
          </w:p>
          <w:p>
            <w:pPr>
              <w:pStyle w:val="null3"/>
            </w:pPr>
            <w:r>
              <w:rPr>
                <w:rFonts w:ascii="仿宋_GB2312" w:hAnsi="仿宋_GB2312" w:cs="仿宋_GB2312" w:eastAsia="仿宋_GB2312"/>
              </w:rPr>
              <w:t>（2）支持模型多机热迁移，多卡并行推理，以及动态负载均衡；</w:t>
            </w:r>
          </w:p>
          <w:p>
            <w:pPr>
              <w:pStyle w:val="null3"/>
            </w:pPr>
            <w:r>
              <w:rPr>
                <w:rFonts w:ascii="仿宋_GB2312" w:hAnsi="仿宋_GB2312" w:cs="仿宋_GB2312" w:eastAsia="仿宋_GB2312"/>
              </w:rPr>
              <w:t>（3）支持水平扩容，可无限扩容CPU、GPU等资源；</w:t>
            </w:r>
          </w:p>
          <w:p>
            <w:pPr>
              <w:pStyle w:val="null3"/>
            </w:pPr>
            <w:r>
              <w:rPr>
                <w:rFonts w:ascii="仿宋_GB2312" w:hAnsi="仿宋_GB2312" w:cs="仿宋_GB2312" w:eastAsia="仿宋_GB2312"/>
              </w:rPr>
              <w:t>（4）资源预警系统：基于预测性分析，支持长时间高负载预警；</w:t>
            </w:r>
          </w:p>
          <w:p>
            <w:pPr>
              <w:pStyle w:val="null3"/>
            </w:pPr>
            <w:r>
              <w:rPr>
                <w:rFonts w:ascii="仿宋_GB2312" w:hAnsi="仿宋_GB2312" w:cs="仿宋_GB2312" w:eastAsia="仿宋_GB2312"/>
              </w:rPr>
              <w:t>（5）平台需要原生支持国内主流大模型厂商以API的方式接入和私有大模型的接入，本地部署需要支持多机、多卡并行推理及负载均衡；</w:t>
            </w:r>
          </w:p>
          <w:p>
            <w:pPr>
              <w:pStyle w:val="null3"/>
            </w:pPr>
            <w:r>
              <w:rPr>
                <w:rFonts w:ascii="仿宋_GB2312" w:hAnsi="仿宋_GB2312" w:cs="仿宋_GB2312" w:eastAsia="仿宋_GB2312"/>
              </w:rPr>
              <w:t>（6）在维护期内，国内外主流模型厂商发布新模型后，必须能第一时间提供支持；</w:t>
            </w:r>
          </w:p>
          <w:p>
            <w:pPr>
              <w:pStyle w:val="null3"/>
            </w:pPr>
            <w:r>
              <w:rPr>
                <w:rFonts w:ascii="仿宋_GB2312" w:hAnsi="仿宋_GB2312" w:cs="仿宋_GB2312" w:eastAsia="仿宋_GB2312"/>
              </w:rPr>
              <w:t>▲（7）平台原生支持MCP能力，可通过MCP无缝接入外部标准MCP服务；</w:t>
            </w:r>
          </w:p>
          <w:p>
            <w:pPr>
              <w:pStyle w:val="null3"/>
            </w:pPr>
            <w:r>
              <w:rPr>
                <w:rFonts w:ascii="仿宋_GB2312" w:hAnsi="仿宋_GB2312" w:cs="仿宋_GB2312" w:eastAsia="仿宋_GB2312"/>
              </w:rPr>
              <w:t>（8）大模型对话需支持多模态能力，如上传图片用来做校园人脸识别，上传文档用来做文档总结等。</w:t>
            </w:r>
          </w:p>
          <w:p>
            <w:pPr>
              <w:pStyle w:val="null3"/>
            </w:pPr>
            <w:r>
              <w:rPr>
                <w:rFonts w:ascii="仿宋_GB2312" w:hAnsi="仿宋_GB2312" w:cs="仿宋_GB2312" w:eastAsia="仿宋_GB2312"/>
              </w:rPr>
              <w:t>三、模型微调</w:t>
            </w:r>
          </w:p>
          <w:p>
            <w:pPr>
              <w:pStyle w:val="null3"/>
            </w:pPr>
            <w:r>
              <w:rPr>
                <w:rFonts w:ascii="仿宋_GB2312" w:hAnsi="仿宋_GB2312" w:cs="仿宋_GB2312" w:eastAsia="仿宋_GB2312"/>
              </w:rPr>
              <w:t>（1）支持针对学校不同领域的教育数据，分别微调模型以适应不同的教育场景；</w:t>
            </w:r>
          </w:p>
          <w:p>
            <w:pPr>
              <w:pStyle w:val="null3"/>
            </w:pPr>
            <w:r>
              <w:rPr>
                <w:rFonts w:ascii="仿宋_GB2312" w:hAnsi="仿宋_GB2312" w:cs="仿宋_GB2312" w:eastAsia="仿宋_GB2312"/>
              </w:rPr>
              <w:t>（2）针对AI大模型生成的内容，支持badcase反馈机制，机器标注或人工标注后自动加入增量数据集进行增强训练；</w:t>
            </w:r>
          </w:p>
          <w:p>
            <w:pPr>
              <w:pStyle w:val="null3"/>
            </w:pPr>
            <w:r>
              <w:rPr>
                <w:rFonts w:ascii="仿宋_GB2312" w:hAnsi="仿宋_GB2312" w:cs="仿宋_GB2312" w:eastAsia="仿宋_GB2312"/>
              </w:rPr>
              <w:t>（3）支持微调后模型的性能评估；</w:t>
            </w:r>
          </w:p>
          <w:p>
            <w:pPr>
              <w:pStyle w:val="null3"/>
            </w:pPr>
            <w:r>
              <w:rPr>
                <w:rFonts w:ascii="仿宋_GB2312" w:hAnsi="仿宋_GB2312" w:cs="仿宋_GB2312" w:eastAsia="仿宋_GB2312"/>
              </w:rPr>
              <w:t>（4）支持微调后模型的热加载，无损切换。</w:t>
            </w:r>
          </w:p>
          <w:p>
            <w:pPr>
              <w:pStyle w:val="null3"/>
            </w:pPr>
            <w:r>
              <w:rPr>
                <w:rFonts w:ascii="仿宋_GB2312" w:hAnsi="仿宋_GB2312" w:cs="仿宋_GB2312" w:eastAsia="仿宋_GB2312"/>
              </w:rPr>
              <w:t>四、知识库</w:t>
            </w:r>
          </w:p>
          <w:p>
            <w:pPr>
              <w:pStyle w:val="null3"/>
            </w:pPr>
            <w:r>
              <w:rPr>
                <w:rFonts w:ascii="仿宋_GB2312" w:hAnsi="仿宋_GB2312" w:cs="仿宋_GB2312" w:eastAsia="仿宋_GB2312"/>
              </w:rPr>
              <w:t>▲（1）智能体的知识库管理涵盖了从知识库创建到维护的全过程，以确保系统能够高效存储和检索信息；需提供佐证材料，包括但不限于经厂家确认的产品彩页、检测报告、功能截图、官网截图等证明材料予以佐证。</w:t>
            </w:r>
          </w:p>
          <w:p>
            <w:pPr>
              <w:pStyle w:val="null3"/>
            </w:pPr>
            <w:r>
              <w:rPr>
                <w:rFonts w:ascii="仿宋_GB2312" w:hAnsi="仿宋_GB2312" w:cs="仿宋_GB2312" w:eastAsia="仿宋_GB2312"/>
              </w:rPr>
              <w:t>（2）知识库检索需要支持根据不同的用户角色，来控制不同的知识库检索权限，避免对话过程中的数据越权；</w:t>
            </w:r>
          </w:p>
          <w:p>
            <w:pPr>
              <w:pStyle w:val="null3"/>
            </w:pPr>
            <w:r>
              <w:rPr>
                <w:rFonts w:ascii="仿宋_GB2312" w:hAnsi="仿宋_GB2312" w:cs="仿宋_GB2312" w:eastAsia="仿宋_GB2312"/>
              </w:rPr>
              <w:t>（3）知识库需要有较强的大数据处理能力，超过10w条文档做到毫秒级检索。</w:t>
            </w:r>
          </w:p>
          <w:p>
            <w:pPr>
              <w:pStyle w:val="null3"/>
            </w:pPr>
            <w:r>
              <w:rPr>
                <w:rFonts w:ascii="仿宋_GB2312" w:hAnsi="仿宋_GB2312" w:cs="仿宋_GB2312" w:eastAsia="仿宋_GB2312"/>
              </w:rPr>
              <w:t>▲（4）用户可以根据需求创建内部或外部知识库。对于内部知识库，用户需选择数据源，进行文本分段和清洗，将原始数据转化为结构化信息，确保其适合后续处理和使用。此外，外部知识库可以通过API接入，实时获取外部资源，实现跨系统的数据整合和共享。同时知识库支持自定义字段，以支撑智能体应用中，根据用户角色来筛选过滤文本范围。需提供佐证材料，包括但不限于经厂家确认的产品彩页、检测报告、功能截图、官网截图等证明材料予以佐证。</w:t>
            </w:r>
          </w:p>
          <w:p>
            <w:pPr>
              <w:pStyle w:val="null3"/>
            </w:pPr>
            <w:r>
              <w:rPr>
                <w:rFonts w:ascii="仿宋_GB2312" w:hAnsi="仿宋_GB2312" w:cs="仿宋_GB2312" w:eastAsia="仿宋_GB2312"/>
              </w:rPr>
              <w:t>（5）知识库管理，在创建好知识库后，用户可以进行高效的管理。文档管理功能允许用户上传、编辑、删除和分类存储文档，确保信息有序存放。召回测试功能可以帮助评估知识库的准确性和效能，定期进行回溯和优化。权限设置功能确保知识库的访问安全，支持对不同角色设置不同的访问权限，避免数据泄露和滥用。</w:t>
            </w:r>
          </w:p>
          <w:p>
            <w:pPr>
              <w:pStyle w:val="null3"/>
            </w:pPr>
            <w:r>
              <w:rPr>
                <w:rFonts w:ascii="仿宋_GB2312" w:hAnsi="仿宋_GB2312" w:cs="仿宋_GB2312" w:eastAsia="仿宋_GB2312"/>
              </w:rPr>
              <w:t>▲（6）索引模式管理使得知识库在检索时更加高效，用户可以根据业务需求选择不同的索引方式。检索设置则支持多种检索方式，包括向量检索、全文检索和混合检索，可以针对不同类型的查询需求选择最适合的检索方式。向量检索能够提升语义理解能力，全文检索则适合对文档进行全面检索，而混合检索则结合了向量和关键词搜索的优势，提供更精确的结果。需提供佐证材料，包括但不限于经厂家确认的产品彩页、检测报告、功能截图、官网截图等证明材料予以佐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智能体应用平台1套</w:t>
            </w:r>
          </w:p>
          <w:p>
            <w:pPr>
              <w:pStyle w:val="null3"/>
            </w:pPr>
            <w:r>
              <w:rPr>
                <w:rFonts w:ascii="仿宋_GB2312" w:hAnsi="仿宋_GB2312" w:cs="仿宋_GB2312" w:eastAsia="仿宋_GB2312"/>
              </w:rPr>
              <w:t>一、整体要求</w:t>
            </w:r>
          </w:p>
          <w:p>
            <w:pPr>
              <w:pStyle w:val="null3"/>
            </w:pPr>
            <w:r>
              <w:rPr>
                <w:rFonts w:ascii="仿宋_GB2312" w:hAnsi="仿宋_GB2312" w:cs="仿宋_GB2312" w:eastAsia="仿宋_GB2312"/>
              </w:rPr>
              <w:t>智能体应用平台建设内容应包括智能体的创建、管理和优化。用户可以通过简单的向导或模板快速构建智能体，支持自定义功能与可视化设计。平台需提供多种智能技术，如自然语言处理和机器学习，支持跨平台、多终端的智能交互。智能体具备实时监控、日志记录、性能评估和版本控制功能，帮助用户高效管理与优化。通过与第三方系统的集成，智能体可扩展应用场景，并通过持续学习和安全保障，不断提升服务质量。</w:t>
            </w:r>
          </w:p>
          <w:p>
            <w:pPr>
              <w:pStyle w:val="null3"/>
            </w:pPr>
            <w:r>
              <w:rPr>
                <w:rFonts w:ascii="仿宋_GB2312" w:hAnsi="仿宋_GB2312" w:cs="仿宋_GB2312" w:eastAsia="仿宋_GB2312"/>
              </w:rPr>
              <w:t>二、智能体创建</w:t>
            </w:r>
          </w:p>
          <w:p>
            <w:pPr>
              <w:pStyle w:val="null3"/>
            </w:pPr>
            <w:r>
              <w:rPr>
                <w:rFonts w:ascii="仿宋_GB2312" w:hAnsi="仿宋_GB2312" w:cs="仿宋_GB2312" w:eastAsia="仿宋_GB2312"/>
              </w:rPr>
              <w:t>（1）快速创建向导：为用户提供简单易用的向导，支持无编程经验的用户通过选择模板和设置参数来快速创建智能体。（须进行演示）</w:t>
            </w:r>
          </w:p>
          <w:p>
            <w:pPr>
              <w:pStyle w:val="null3"/>
            </w:pPr>
            <w:r>
              <w:rPr>
                <w:rFonts w:ascii="仿宋_GB2312" w:hAnsi="仿宋_GB2312" w:cs="仿宋_GB2312" w:eastAsia="仿宋_GB2312"/>
              </w:rPr>
              <w:t>（2）多模型支持：用户可以选择添加自己预训练的大模型和三方商用大模型（如通义千问、DeepSeek等），从而根据实际需求选择最适合的大模型。（须进行演示）</w:t>
            </w:r>
          </w:p>
          <w:p>
            <w:pPr>
              <w:pStyle w:val="null3"/>
            </w:pPr>
            <w:r>
              <w:rPr>
                <w:rFonts w:ascii="仿宋_GB2312" w:hAnsi="仿宋_GB2312" w:cs="仿宋_GB2312" w:eastAsia="仿宋_GB2312"/>
              </w:rPr>
              <w:t>（3）多语言支持：支持不同语言的智能体创建，用户可以根据需求选择中文、英文等不同语言的处理能力，满足跨语言场景的需求。（须进行演示）</w:t>
            </w:r>
          </w:p>
          <w:p>
            <w:pPr>
              <w:pStyle w:val="null3"/>
            </w:pPr>
            <w:r>
              <w:rPr>
                <w:rFonts w:ascii="仿宋_GB2312" w:hAnsi="仿宋_GB2312" w:cs="仿宋_GB2312" w:eastAsia="仿宋_GB2312"/>
              </w:rPr>
              <w:t>（4）功能模块选择：提供多种三方功能模块供用户选择，例如天气查询、实时搜索引擎、外部知识库等，用户可以根据自己的业务需求组合功能。（须进行演示）</w:t>
            </w:r>
          </w:p>
          <w:p>
            <w:pPr>
              <w:pStyle w:val="null3"/>
            </w:pPr>
            <w:r>
              <w:rPr>
                <w:rFonts w:ascii="仿宋_GB2312" w:hAnsi="仿宋_GB2312" w:cs="仿宋_GB2312" w:eastAsia="仿宋_GB2312"/>
              </w:rPr>
              <w:t>（5）智能体模板库：平台提供预设的智能体模板（如客服助手、知识问答、智能助手等），用户可以根据模板快速搭建自己的智能体，避免从头开始。（须进行演示）</w:t>
            </w:r>
          </w:p>
          <w:p>
            <w:pPr>
              <w:pStyle w:val="null3"/>
            </w:pPr>
            <w:r>
              <w:rPr>
                <w:rFonts w:ascii="仿宋_GB2312" w:hAnsi="仿宋_GB2312" w:cs="仿宋_GB2312" w:eastAsia="仿宋_GB2312"/>
              </w:rPr>
              <w:t>（6）可视化流程设计：通过拖拽式可视化界面，用户能够轻松定义智能体的工作流程，包括输入输出、任务处理逻辑等。（须进行演示）</w:t>
            </w:r>
          </w:p>
          <w:p>
            <w:pPr>
              <w:pStyle w:val="null3"/>
            </w:pPr>
            <w:r>
              <w:rPr>
                <w:rFonts w:ascii="仿宋_GB2312" w:hAnsi="仿宋_GB2312" w:cs="仿宋_GB2312" w:eastAsia="仿宋_GB2312"/>
              </w:rPr>
              <w:t>（7）智能体应用需要支持低代码/零代码的复杂工作流编排，允许非技术人员拖拽组件构建包含循环、条件分支、异常处理的复杂流程。</w:t>
            </w:r>
          </w:p>
          <w:p>
            <w:pPr>
              <w:pStyle w:val="null3"/>
            </w:pPr>
            <w:r>
              <w:rPr>
                <w:rFonts w:ascii="仿宋_GB2312" w:hAnsi="仿宋_GB2312" w:cs="仿宋_GB2312" w:eastAsia="仿宋_GB2312"/>
              </w:rPr>
              <w:t>（8）智能体需要支持图片生成、数字人视频生成、PPT生成等常用办公能力。</w:t>
            </w:r>
          </w:p>
          <w:p>
            <w:pPr>
              <w:pStyle w:val="null3"/>
            </w:pPr>
            <w:r>
              <w:rPr>
                <w:rFonts w:ascii="仿宋_GB2312" w:hAnsi="仿宋_GB2312" w:cs="仿宋_GB2312" w:eastAsia="仿宋_GB2312"/>
              </w:rPr>
              <w:t>（9）用户对话需有全链路监控，从用户问题，到智能体思考，到最终回复，全链路数据可见，同时可统计每个智能体的使用情况。</w:t>
            </w:r>
          </w:p>
          <w:p>
            <w:pPr>
              <w:pStyle w:val="null3"/>
            </w:pPr>
            <w:r>
              <w:rPr>
                <w:rFonts w:ascii="仿宋_GB2312" w:hAnsi="仿宋_GB2312" w:cs="仿宋_GB2312" w:eastAsia="仿宋_GB2312"/>
              </w:rPr>
              <w:t>（10）针对大模型的回答，需要有反馈机制，便于管理人员第一时间了解用户对智能体的使用体验情况。</w:t>
            </w:r>
          </w:p>
          <w:p>
            <w:pPr>
              <w:pStyle w:val="null3"/>
            </w:pPr>
            <w:r>
              <w:rPr>
                <w:rFonts w:ascii="仿宋_GB2312" w:hAnsi="仿宋_GB2312" w:cs="仿宋_GB2312" w:eastAsia="仿宋_GB2312"/>
              </w:rPr>
              <w:t>三、智能体管理</w:t>
            </w:r>
          </w:p>
          <w:p>
            <w:pPr>
              <w:pStyle w:val="null3"/>
            </w:pPr>
            <w:r>
              <w:rPr>
                <w:rFonts w:ascii="仿宋_GB2312" w:hAnsi="仿宋_GB2312" w:cs="仿宋_GB2312" w:eastAsia="仿宋_GB2312"/>
              </w:rPr>
              <w:t>（1）智能体管理中心：在“我的智能体”中，用户可以查看和管理自己创建的所有智能体，支持批量管理、分类、标签化等操作，方便智能体的快速查找与管理。</w:t>
            </w:r>
          </w:p>
          <w:p>
            <w:pPr>
              <w:pStyle w:val="null3"/>
            </w:pPr>
            <w:r>
              <w:rPr>
                <w:rFonts w:ascii="仿宋_GB2312" w:hAnsi="仿宋_GB2312" w:cs="仿宋_GB2312" w:eastAsia="仿宋_GB2312"/>
              </w:rPr>
              <w:t>▲（2）状态监控与分析：为每个智能体提供实时监控面板，显示当前智能体的运行状态、处理进度、交互量等信息。通过统计分析，用户能够评估智能体的表现和效率。需提供佐证材料，包括但不限于经厂家确认的产品彩页、检测报告、功能截图、官网截图等证明材料予以佐证。</w:t>
            </w:r>
          </w:p>
          <w:p>
            <w:pPr>
              <w:pStyle w:val="null3"/>
            </w:pPr>
            <w:r>
              <w:rPr>
                <w:rFonts w:ascii="仿宋_GB2312" w:hAnsi="仿宋_GB2312" w:cs="仿宋_GB2312" w:eastAsia="仿宋_GB2312"/>
              </w:rPr>
              <w:t>（3）日志与反馈：每个智能体都会记录日志和操作历史，方便用户查看和排查问题。用户可以查看智能体在实际应用中的反馈与结果，了解其性能与问题所在。</w:t>
            </w:r>
          </w:p>
          <w:p>
            <w:pPr>
              <w:pStyle w:val="null3"/>
            </w:pPr>
            <w:r>
              <w:rPr>
                <w:rFonts w:ascii="仿宋_GB2312" w:hAnsi="仿宋_GB2312" w:cs="仿宋_GB2312" w:eastAsia="仿宋_GB2312"/>
              </w:rPr>
              <w:t>（4）智能体优化：基于智能体的表现，用户可以进行优化和调整。通过数据分析与反馈，用户可以逐步调整智能体的参数，提升智能体的准确性与响应速度。</w:t>
            </w:r>
          </w:p>
          <w:p>
            <w:pPr>
              <w:pStyle w:val="null3"/>
            </w:pPr>
            <w:r>
              <w:rPr>
                <w:rFonts w:ascii="仿宋_GB2312" w:hAnsi="仿宋_GB2312" w:cs="仿宋_GB2312" w:eastAsia="仿宋_GB2312"/>
              </w:rPr>
              <w:t>（5）版本控制与更新：提供版本控制功能，用户可以对智能体进行版本管理，确保在升级过程中不会丢失重要数据，并且能够回滚到历史版本。</w:t>
            </w:r>
          </w:p>
          <w:p>
            <w:pPr>
              <w:pStyle w:val="null3"/>
            </w:pPr>
            <w:r>
              <w:rPr>
                <w:rFonts w:ascii="仿宋_GB2312" w:hAnsi="仿宋_GB2312" w:cs="仿宋_GB2312" w:eastAsia="仿宋_GB2312"/>
              </w:rPr>
              <w:t>三、智能体交互与使用</w:t>
            </w:r>
          </w:p>
          <w:p>
            <w:pPr>
              <w:pStyle w:val="null3"/>
            </w:pPr>
            <w:r>
              <w:rPr>
                <w:rFonts w:ascii="仿宋_GB2312" w:hAnsi="仿宋_GB2312" w:cs="仿宋_GB2312" w:eastAsia="仿宋_GB2312"/>
              </w:rPr>
              <w:t>（1）多通道接入：用户创建的智能体可以通过多种渠道接入使用，例如Web、App、微信等即时聊天工具等，实现跨平台的多终端服务。</w:t>
            </w:r>
          </w:p>
          <w:p>
            <w:pPr>
              <w:pStyle w:val="null3"/>
            </w:pPr>
            <w:r>
              <w:rPr>
                <w:rFonts w:ascii="仿宋_GB2312" w:hAnsi="仿宋_GB2312" w:cs="仿宋_GB2312" w:eastAsia="仿宋_GB2312"/>
              </w:rPr>
              <w:t>（2）自然语言理解：智能体能够通过自然语言理解技术与用户进行流畅的对话，理解语境、意图以及用户需求，提供精准的答案或服务。</w:t>
            </w:r>
          </w:p>
          <w:p>
            <w:pPr>
              <w:pStyle w:val="null3"/>
            </w:pPr>
            <w:r>
              <w:rPr>
                <w:rFonts w:ascii="仿宋_GB2312" w:hAnsi="仿宋_GB2312" w:cs="仿宋_GB2312" w:eastAsia="仿宋_GB2312"/>
              </w:rPr>
              <w:t>（3）自学习与个性化：智能体能够通过历史交互数据不断学习，提供个性化的服务。例如，根据用户提问的频次和类型，智能体能够自动调整对话策略和服务内容。</w:t>
            </w:r>
          </w:p>
          <w:p>
            <w:pPr>
              <w:pStyle w:val="null3"/>
            </w:pPr>
            <w:r>
              <w:rPr>
                <w:rFonts w:ascii="仿宋_GB2312" w:hAnsi="仿宋_GB2312" w:cs="仿宋_GB2312" w:eastAsia="仿宋_GB2312"/>
              </w:rPr>
              <w:t>（4）语音交互：除文本输入外，用户可以通过语音与智能体进行互动。语音识别技术可以帮助智能体识别用户的语音指令，并以语音或文本方式响应。</w:t>
            </w:r>
          </w:p>
          <w:p>
            <w:pPr>
              <w:pStyle w:val="null3"/>
            </w:pPr>
            <w:r>
              <w:rPr>
                <w:rFonts w:ascii="仿宋_GB2312" w:hAnsi="仿宋_GB2312" w:cs="仿宋_GB2312" w:eastAsia="仿宋_GB2312"/>
              </w:rPr>
              <w:t>四、应用编排与工作流</w:t>
            </w:r>
          </w:p>
          <w:p>
            <w:pPr>
              <w:pStyle w:val="null3"/>
            </w:pPr>
            <w:r>
              <w:rPr>
                <w:rFonts w:ascii="仿宋_GB2312" w:hAnsi="仿宋_GB2312" w:cs="仿宋_GB2312" w:eastAsia="仿宋_GB2312"/>
              </w:rPr>
              <w:t>▲（1）用户可以将多个动作（如知识库检索、大模型回复、代码执行、HTTP请求等）按照预定逻辑进行编排，创建一个协同工作流。通过可视化的工作流设计器，用户可以拖拽组件并配置它们之间的依赖关系，大大简化应用的创建流程。例如，智能体可以与外部系统（如OA、教务系统）进行数据同步，将生成的报告自动通过HTTP接口触发发送至指定人员，或者将处理结果传递给下游系统以供进一步处理。需提供佐证材料，包括但不限于经厂家确认的产品彩页、检测报告、功能截图、官网截图等证明材料予以佐证。</w:t>
            </w:r>
          </w:p>
          <w:p>
            <w:pPr>
              <w:pStyle w:val="null3"/>
            </w:pPr>
            <w:r>
              <w:rPr>
                <w:rFonts w:ascii="仿宋_GB2312" w:hAnsi="仿宋_GB2312" w:cs="仿宋_GB2312" w:eastAsia="仿宋_GB2312"/>
              </w:rPr>
              <w:t>（2）工作流引擎能够根据预设的规则与条件，控制任务的流转。用户可以根据具体业务需求，设计线性或并行的任务流。工作流支持条件分支、循环操作、定时任务等复杂逻辑，确保任务按时、按需完成。通过智能体的能力，工作流中的任务能够自动化处理。</w:t>
            </w:r>
          </w:p>
          <w:p>
            <w:pPr>
              <w:pStyle w:val="null3"/>
            </w:pPr>
            <w:r>
              <w:rPr>
                <w:rFonts w:ascii="仿宋_GB2312" w:hAnsi="仿宋_GB2312" w:cs="仿宋_GB2312" w:eastAsia="仿宋_GB2312"/>
              </w:rPr>
              <w:t>▲（3）添加MCP服务器，自动读取MCP服务的能力，并可以灵活选择一个或多个MCP方法添加到工作流的编排中。需提供佐证材料，包括但不限于经厂家确认的产品彩页、检测报告、功能截图、官网截图等证明材料予以佐证。</w:t>
            </w:r>
          </w:p>
          <w:p>
            <w:pPr>
              <w:pStyle w:val="null3"/>
            </w:pPr>
            <w:r>
              <w:rPr>
                <w:rFonts w:ascii="仿宋_GB2312" w:hAnsi="仿宋_GB2312" w:cs="仿宋_GB2312" w:eastAsia="仿宋_GB2312"/>
              </w:rPr>
              <w:t>（4）支持用户在对话过程中上传图片、视频、音频、文档等资源，可以流程编排中，对上传的文件添加处理逻辑。</w:t>
            </w:r>
          </w:p>
          <w:p>
            <w:pPr>
              <w:pStyle w:val="null3"/>
            </w:pPr>
            <w:r>
              <w:rPr>
                <w:rFonts w:ascii="仿宋_GB2312" w:hAnsi="仿宋_GB2312" w:cs="仿宋_GB2312" w:eastAsia="仿宋_GB2312"/>
              </w:rPr>
              <w:t>五、智能体与第三方服务集成</w:t>
            </w:r>
          </w:p>
          <w:p>
            <w:pPr>
              <w:pStyle w:val="null3"/>
            </w:pPr>
            <w:r>
              <w:rPr>
                <w:rFonts w:ascii="仿宋_GB2312" w:hAnsi="仿宋_GB2312" w:cs="仿宋_GB2312" w:eastAsia="仿宋_GB2312"/>
              </w:rPr>
              <w:t>（1）开放API：智能体支持通过开放API与第三方应用和服务进行集成，扩展智能体的功能。例如，能够接入学校智慧校园、协同办公平台、门户网站、科研系统、教学平台等学校内部业务系统，实现跨系统的数据流通和操作自动化。</w:t>
            </w:r>
          </w:p>
          <w:p>
            <w:pPr>
              <w:pStyle w:val="null3"/>
            </w:pPr>
            <w:r>
              <w:rPr>
                <w:rFonts w:ascii="仿宋_GB2312" w:hAnsi="仿宋_GB2312" w:cs="仿宋_GB2312" w:eastAsia="仿宋_GB2312"/>
              </w:rPr>
              <w:t>（2）插件与扩展：平台支持第三方插件的接入和自定义扩展，用户可以根据自己的需求集成外部服务或定制功能模块，增强智能体的业务适应性。</w:t>
            </w:r>
          </w:p>
          <w:p>
            <w:pPr>
              <w:pStyle w:val="null3"/>
            </w:pPr>
            <w:r>
              <w:rPr>
                <w:rFonts w:ascii="仿宋_GB2312" w:hAnsi="仿宋_GB2312" w:cs="仿宋_GB2312" w:eastAsia="仿宋_GB2312"/>
              </w:rPr>
              <w:t>（3）权限控制：为不同的用户角色（如管理员、开发者、普通用户等）设置不同的权限，确保只有授权用户可以访问和修改敏感数据或智能体配置。</w:t>
            </w:r>
          </w:p>
          <w:p>
            <w:pPr>
              <w:pStyle w:val="null3"/>
            </w:pPr>
            <w:r>
              <w:rPr>
                <w:rFonts w:ascii="仿宋_GB2312" w:hAnsi="仿宋_GB2312" w:cs="仿宋_GB2312" w:eastAsia="仿宋_GB2312"/>
              </w:rPr>
              <w:t>（4）安全监控与防护：智能体平台内置安全监控平台，能够实时检测异常行为，防止智能体遭遇恶意攻击或滥用。</w:t>
            </w:r>
          </w:p>
          <w:p>
            <w:pPr>
              <w:pStyle w:val="null3"/>
            </w:pPr>
            <w:r>
              <w:rPr>
                <w:rFonts w:ascii="仿宋_GB2312" w:hAnsi="仿宋_GB2312" w:cs="仿宋_GB2312" w:eastAsia="仿宋_GB2312"/>
              </w:rPr>
              <w:t>（5）数据加密与隐私保护：保证在用户交互过程中，智能体能够遵守数据隐私政策，对敏感信息进行加密处理，并符合各类法律法规（如GDPR等）。</w:t>
            </w:r>
          </w:p>
          <w:p>
            <w:pPr>
              <w:pStyle w:val="null3"/>
            </w:pPr>
            <w:r>
              <w:rPr>
                <w:rFonts w:ascii="仿宋_GB2312" w:hAnsi="仿宋_GB2312" w:cs="仿宋_GB2312" w:eastAsia="仿宋_GB2312"/>
              </w:rPr>
              <w:t>六、智能体社区与支持</w:t>
            </w:r>
          </w:p>
          <w:p>
            <w:pPr>
              <w:pStyle w:val="null3"/>
            </w:pPr>
            <w:r>
              <w:rPr>
                <w:rFonts w:ascii="仿宋_GB2312" w:hAnsi="仿宋_GB2312" w:cs="仿宋_GB2312" w:eastAsia="仿宋_GB2312"/>
              </w:rPr>
              <w:t>（1）开发者社区：建设一个活跃的智能体开发者社区，供用户交流经验、分享成果、获取技术支持。平台可以定期组织技术讲座、培训课程等活动，帮助用户提升智能体的使用和开发技能。</w:t>
            </w:r>
          </w:p>
          <w:p>
            <w:pPr>
              <w:pStyle w:val="null3"/>
            </w:pPr>
            <w:r>
              <w:rPr>
                <w:rFonts w:ascii="仿宋_GB2312" w:hAnsi="仿宋_GB2312" w:cs="仿宋_GB2312" w:eastAsia="仿宋_GB2312"/>
              </w:rPr>
              <w:t>（2）在线帮助与文档：为用户提供详细的在线帮助文档和操作手册，包括智能体创建、管理、优化、集成等各方面的操作指南，帮助用户解决常见问题。</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数字人应用平台1套</w:t>
            </w:r>
          </w:p>
          <w:p>
            <w:pPr>
              <w:pStyle w:val="null3"/>
            </w:pPr>
            <w:r>
              <w:rPr>
                <w:rFonts w:ascii="仿宋_GB2312" w:hAnsi="仿宋_GB2312" w:cs="仿宋_GB2312" w:eastAsia="仿宋_GB2312"/>
              </w:rPr>
              <w:t>一、总体要求：</w:t>
            </w:r>
          </w:p>
          <w:p>
            <w:pPr>
              <w:pStyle w:val="null3"/>
            </w:pPr>
            <w:r>
              <w:rPr>
                <w:rFonts w:ascii="仿宋_GB2312" w:hAnsi="仿宋_GB2312" w:cs="仿宋_GB2312" w:eastAsia="仿宋_GB2312"/>
              </w:rPr>
              <w:t>建设数字人，与大模型融合支持多样化教学场景，提供智能交互体验和个性化教育，在管理服务、日常教学、校园宣传、在线咨询等场景中发挥作用。</w:t>
            </w:r>
          </w:p>
          <w:p>
            <w:pPr>
              <w:pStyle w:val="null3"/>
            </w:pPr>
            <w:r>
              <w:rPr>
                <w:rFonts w:ascii="仿宋_GB2312" w:hAnsi="仿宋_GB2312" w:cs="仿宋_GB2312" w:eastAsia="仿宋_GB2312"/>
              </w:rPr>
              <w:t>二、数字人管理系统：</w:t>
            </w:r>
          </w:p>
          <w:p>
            <w:pPr>
              <w:pStyle w:val="null3"/>
            </w:pPr>
            <w:r>
              <w:rPr>
                <w:rFonts w:ascii="仿宋_GB2312" w:hAnsi="仿宋_GB2312" w:cs="仿宋_GB2312" w:eastAsia="仿宋_GB2312"/>
              </w:rPr>
              <w:t>（1）形象添加：通过输入基础形象信息（如名称、分类、封面等），快速完成数字人形象的创建与添加;</w:t>
            </w:r>
          </w:p>
          <w:p>
            <w:pPr>
              <w:pStyle w:val="null3"/>
            </w:pPr>
            <w:r>
              <w:rPr>
                <w:rFonts w:ascii="仿宋_GB2312" w:hAnsi="仿宋_GB2312" w:cs="仿宋_GB2312" w:eastAsia="仿宋_GB2312"/>
              </w:rPr>
              <w:t>（2）形象管理：查看已添加形象的详细信息与状态，并支持对形象进行基础编辑、删除等管理操作，确保形象库的有序维护；</w:t>
            </w:r>
          </w:p>
          <w:p>
            <w:pPr>
              <w:pStyle w:val="null3"/>
            </w:pPr>
            <w:r>
              <w:rPr>
                <w:rFonts w:ascii="仿宋_GB2312" w:hAnsi="仿宋_GB2312" w:cs="仿宋_GB2312" w:eastAsia="仿宋_GB2312"/>
              </w:rPr>
              <w:t>（3）声模添加：输入基础声模信息（如名称、性别等），完成声音模型的添加，确保数字人的声音表现与个性化需求相符；</w:t>
            </w:r>
          </w:p>
          <w:p>
            <w:pPr>
              <w:pStyle w:val="null3"/>
            </w:pPr>
            <w:r>
              <w:rPr>
                <w:rFonts w:ascii="仿宋_GB2312" w:hAnsi="仿宋_GB2312" w:cs="仿宋_GB2312" w:eastAsia="仿宋_GB2312"/>
              </w:rPr>
              <w:t>（4）声模管理：查看已添加的声模列表、状态等信息，同时可做基础的编辑、删除等操作。</w:t>
            </w:r>
          </w:p>
          <w:p>
            <w:pPr>
              <w:pStyle w:val="null3"/>
            </w:pPr>
            <w:r>
              <w:rPr>
                <w:rFonts w:ascii="仿宋_GB2312" w:hAnsi="仿宋_GB2312" w:cs="仿宋_GB2312" w:eastAsia="仿宋_GB2312"/>
              </w:rPr>
              <w:t>三、形象克隆系统：</w:t>
            </w:r>
          </w:p>
          <w:p>
            <w:pPr>
              <w:pStyle w:val="null3"/>
            </w:pPr>
            <w:r>
              <w:rPr>
                <w:rFonts w:ascii="仿宋_GB2312" w:hAnsi="仿宋_GB2312" w:cs="仿宋_GB2312" w:eastAsia="仿宋_GB2312"/>
              </w:rPr>
              <w:t>（1）训练素材上传：上传5-10分钟讲话视频素材，要求吐字清晰，人脸部分的分辨率越大越好，越大推理的清晰度越高，且必须保证所有帧均能检测到人脸。素材用于训练声音和口型的对齐；</w:t>
            </w:r>
          </w:p>
          <w:p>
            <w:pPr>
              <w:pStyle w:val="null3"/>
            </w:pPr>
            <w:r>
              <w:rPr>
                <w:rFonts w:ascii="仿宋_GB2312" w:hAnsi="仿宋_GB2312" w:cs="仿宋_GB2312" w:eastAsia="仿宋_GB2312"/>
              </w:rPr>
              <w:t>（2）推理素材上传：上传≥20秒的不讲话视频素材，全程呈闭口状态，可以有部分肢体动作，头部运动幅度不要过大，素材用于推理时的基础视频，提高最终合成效果的自然度；</w:t>
            </w:r>
          </w:p>
          <w:p>
            <w:pPr>
              <w:pStyle w:val="null3"/>
            </w:pPr>
            <w:r>
              <w:rPr>
                <w:rFonts w:ascii="仿宋_GB2312" w:hAnsi="仿宋_GB2312" w:cs="仿宋_GB2312" w:eastAsia="仿宋_GB2312"/>
              </w:rPr>
              <w:t>（3）模型训练：选择目标形象，设定训练参数，确定目标GPU，执行训练操作，整个过程支持实时查看效果数据，确保训练过程透明化、可控化；</w:t>
            </w:r>
          </w:p>
          <w:p>
            <w:pPr>
              <w:pStyle w:val="null3"/>
            </w:pPr>
            <w:r>
              <w:rPr>
                <w:rFonts w:ascii="仿宋_GB2312" w:hAnsi="仿宋_GB2312" w:cs="仿宋_GB2312" w:eastAsia="仿宋_GB2312"/>
              </w:rPr>
              <w:t>（4）模型微调：若训练效果不达预期，支持调整训练参数，重新进行训练，直到效果令人满意为止，确保最终模型的高度精确性；</w:t>
            </w:r>
          </w:p>
          <w:p>
            <w:pPr>
              <w:pStyle w:val="null3"/>
            </w:pPr>
            <w:r>
              <w:rPr>
                <w:rFonts w:ascii="仿宋_GB2312" w:hAnsi="仿宋_GB2312" w:cs="仿宋_GB2312" w:eastAsia="仿宋_GB2312"/>
              </w:rPr>
              <w:t>（5）效果测试：选择目标形象，输出驱动文字，生成预览视频，便于平台直接查看训练效果，以便于进一步优化和验证；</w:t>
            </w:r>
          </w:p>
          <w:p>
            <w:pPr>
              <w:pStyle w:val="null3"/>
            </w:pPr>
            <w:r>
              <w:rPr>
                <w:rFonts w:ascii="仿宋_GB2312" w:hAnsi="仿宋_GB2312" w:cs="仿宋_GB2312" w:eastAsia="仿宋_GB2312"/>
              </w:rPr>
              <w:t>（6）模型发布：训练效果达到要求后，可发布成Release版本，供业务侧使用；</w:t>
            </w:r>
          </w:p>
          <w:p>
            <w:pPr>
              <w:pStyle w:val="null3"/>
            </w:pPr>
            <w:r>
              <w:rPr>
                <w:rFonts w:ascii="仿宋_GB2312" w:hAnsi="仿宋_GB2312" w:cs="仿宋_GB2312" w:eastAsia="仿宋_GB2312"/>
              </w:rPr>
              <w:t>（7）水平扩容：服务以Docker镜像形式封装，硬件资源支持无限水平扩容。</w:t>
            </w:r>
          </w:p>
          <w:p>
            <w:pPr>
              <w:pStyle w:val="null3"/>
            </w:pPr>
            <w:r>
              <w:rPr>
                <w:rFonts w:ascii="仿宋_GB2312" w:hAnsi="仿宋_GB2312" w:cs="仿宋_GB2312" w:eastAsia="仿宋_GB2312"/>
              </w:rPr>
              <w:t>四、声音克隆系统：</w:t>
            </w:r>
          </w:p>
          <w:p>
            <w:pPr>
              <w:pStyle w:val="null3"/>
            </w:pPr>
            <w:r>
              <w:rPr>
                <w:rFonts w:ascii="仿宋_GB2312" w:hAnsi="仿宋_GB2312" w:cs="仿宋_GB2312" w:eastAsia="仿宋_GB2312"/>
              </w:rPr>
              <w:t>（1）训练素材管理：可直接选择形象克隆中的视频信息，自动转换成音频，亦可手动上传1-3分钟的wav或mp3文件，要求吐字清晰，无背景噪音，以确保声音克隆的高保真度；</w:t>
            </w:r>
          </w:p>
          <w:p>
            <w:pPr>
              <w:pStyle w:val="null3"/>
            </w:pPr>
            <w:r>
              <w:rPr>
                <w:rFonts w:ascii="仿宋_GB2312" w:hAnsi="仿宋_GB2312" w:cs="仿宋_GB2312" w:eastAsia="仿宋_GB2312"/>
              </w:rPr>
              <w:t>（2）模型训练：选择目标素材，设定训练参数，确定目标GPU，执行训练操作；</w:t>
            </w:r>
          </w:p>
          <w:p>
            <w:pPr>
              <w:pStyle w:val="null3"/>
            </w:pPr>
            <w:r>
              <w:rPr>
                <w:rFonts w:ascii="仿宋_GB2312" w:hAnsi="仿宋_GB2312" w:cs="仿宋_GB2312" w:eastAsia="仿宋_GB2312"/>
              </w:rPr>
              <w:t>（3）模型微调：训练结束后如效果不达预期，可调整训练参数重新参与训练；</w:t>
            </w:r>
          </w:p>
          <w:p>
            <w:pPr>
              <w:pStyle w:val="null3"/>
            </w:pPr>
            <w:r>
              <w:rPr>
                <w:rFonts w:ascii="仿宋_GB2312" w:hAnsi="仿宋_GB2312" w:cs="仿宋_GB2312" w:eastAsia="仿宋_GB2312"/>
              </w:rPr>
              <w:t>（4）效果测试：选择目标声音，输出驱动文字，生成预览音频；</w:t>
            </w:r>
          </w:p>
          <w:p>
            <w:pPr>
              <w:pStyle w:val="null3"/>
            </w:pPr>
            <w:r>
              <w:rPr>
                <w:rFonts w:ascii="仿宋_GB2312" w:hAnsi="仿宋_GB2312" w:cs="仿宋_GB2312" w:eastAsia="仿宋_GB2312"/>
              </w:rPr>
              <w:t>（5）模型发布：训练效果达到要求后，可发布成Release版本；</w:t>
            </w:r>
          </w:p>
          <w:p>
            <w:pPr>
              <w:pStyle w:val="null3"/>
            </w:pPr>
            <w:r>
              <w:rPr>
                <w:rFonts w:ascii="仿宋_GB2312" w:hAnsi="仿宋_GB2312" w:cs="仿宋_GB2312" w:eastAsia="仿宋_GB2312"/>
              </w:rPr>
              <w:t>（6）水平扩容：服务以Docker镜像形式封装，硬件资源支持无限水平扩容。</w:t>
            </w:r>
          </w:p>
          <w:p>
            <w:pPr>
              <w:pStyle w:val="null3"/>
            </w:pPr>
            <w:r>
              <w:rPr>
                <w:rFonts w:ascii="仿宋_GB2312" w:hAnsi="仿宋_GB2312" w:cs="仿宋_GB2312" w:eastAsia="仿宋_GB2312"/>
              </w:rPr>
              <w:t>五、数字人推理系统：</w:t>
            </w:r>
          </w:p>
          <w:p>
            <w:pPr>
              <w:pStyle w:val="null3"/>
            </w:pPr>
            <w:r>
              <w:rPr>
                <w:rFonts w:ascii="仿宋_GB2312" w:hAnsi="仿宋_GB2312" w:cs="仿宋_GB2312" w:eastAsia="仿宋_GB2312"/>
              </w:rPr>
              <w:t>（1）中台化架构：采用中台化思想，将数字人构建为独立的子服务，支持上层根据业务需求进行自由编排；</w:t>
            </w:r>
          </w:p>
          <w:p>
            <w:pPr>
              <w:pStyle w:val="null3"/>
            </w:pPr>
            <w:r>
              <w:rPr>
                <w:rFonts w:ascii="仿宋_GB2312" w:hAnsi="仿宋_GB2312" w:cs="仿宋_GB2312" w:eastAsia="仿宋_GB2312"/>
              </w:rPr>
              <w:t>（2）标准协议接入：通过OpenAI标准协议对接大模型，支持无缝连接通用大模型与专属知识库，实现知识驱动的智能对话；</w:t>
            </w:r>
          </w:p>
          <w:p>
            <w:pPr>
              <w:pStyle w:val="null3"/>
            </w:pPr>
            <w:r>
              <w:rPr>
                <w:rFonts w:ascii="仿宋_GB2312" w:hAnsi="仿宋_GB2312" w:cs="仿宋_GB2312" w:eastAsia="仿宋_GB2312"/>
              </w:rPr>
              <w:t>（3）形象与TTS声模组合：支持数字人形象与TTS声模的自由组合，生成最终态的数字人效果。</w:t>
            </w:r>
          </w:p>
          <w:p>
            <w:pPr>
              <w:pStyle w:val="null3"/>
            </w:pPr>
            <w:r>
              <w:rPr>
                <w:rFonts w:ascii="仿宋_GB2312" w:hAnsi="仿宋_GB2312" w:cs="仿宋_GB2312" w:eastAsia="仿宋_GB2312"/>
              </w:rPr>
              <w:t>六、数字人调度系统：</w:t>
            </w:r>
          </w:p>
          <w:p>
            <w:pPr>
              <w:pStyle w:val="null3"/>
            </w:pPr>
            <w:r>
              <w:rPr>
                <w:rFonts w:ascii="仿宋_GB2312" w:hAnsi="仿宋_GB2312" w:cs="仿宋_GB2312" w:eastAsia="仿宋_GB2312"/>
              </w:rPr>
              <w:t>（1）通信信道与资源分配：接收上游的数字人渲染请求，完成通信信道创建与资源分配；</w:t>
            </w:r>
          </w:p>
          <w:p>
            <w:pPr>
              <w:pStyle w:val="null3"/>
            </w:pPr>
            <w:r>
              <w:rPr>
                <w:rFonts w:ascii="仿宋_GB2312" w:hAnsi="仿宋_GB2312" w:cs="仿宋_GB2312" w:eastAsia="仿宋_GB2312"/>
              </w:rPr>
              <w:t>（2）实时推理服务：打通下游推理服务，建立数字人和TTS的实时推理服务；</w:t>
            </w:r>
          </w:p>
          <w:p>
            <w:pPr>
              <w:pStyle w:val="null3"/>
            </w:pPr>
            <w:r>
              <w:rPr>
                <w:rFonts w:ascii="仿宋_GB2312" w:hAnsi="仿宋_GB2312" w:cs="仿宋_GB2312" w:eastAsia="仿宋_GB2312"/>
              </w:rPr>
              <w:t>（3）智能负载均衡：通过算法自动选择计算资源，实现负载均衡，在保证推理实时性的前提下最大化资源利用率；</w:t>
            </w:r>
          </w:p>
          <w:p>
            <w:pPr>
              <w:pStyle w:val="null3"/>
            </w:pPr>
            <w:r>
              <w:rPr>
                <w:rFonts w:ascii="仿宋_GB2312" w:hAnsi="仿宋_GB2312" w:cs="仿宋_GB2312" w:eastAsia="仿宋_GB2312"/>
              </w:rPr>
              <w:t>（4）硬件加速与自适应：调用硬件加速功能完成音视频流编解码，根据网络环境自适应清晰度，确保在不同网络条件下的稳定输出；</w:t>
            </w:r>
          </w:p>
          <w:p>
            <w:pPr>
              <w:pStyle w:val="null3"/>
            </w:pPr>
            <w:r>
              <w:rPr>
                <w:rFonts w:ascii="仿宋_GB2312" w:hAnsi="仿宋_GB2312" w:cs="仿宋_GB2312" w:eastAsia="仿宋_GB2312"/>
              </w:rPr>
              <w:t>（5）无限扩容：服务以Docker镜像形式封装，硬件资源支持无限水平扩容。</w:t>
            </w:r>
          </w:p>
          <w:p>
            <w:pPr>
              <w:pStyle w:val="null3"/>
            </w:pPr>
            <w:r>
              <w:rPr>
                <w:rFonts w:ascii="仿宋_GB2312" w:hAnsi="仿宋_GB2312" w:cs="仿宋_GB2312" w:eastAsia="仿宋_GB2312"/>
              </w:rPr>
              <w:t>七、数字人Web端：</w:t>
            </w:r>
          </w:p>
          <w:p>
            <w:pPr>
              <w:pStyle w:val="null3"/>
            </w:pPr>
            <w:r>
              <w:rPr>
                <w:rFonts w:ascii="仿宋_GB2312" w:hAnsi="仿宋_GB2312" w:cs="仿宋_GB2312" w:eastAsia="仿宋_GB2312"/>
              </w:rPr>
              <w:t>（1）采用WebRTC技术，支持实时推理和渲染功能。通过配置好的数字人和声音，接入大模型，系统会自动驱动数字人进行实时生成并渲染其形象与声音，确保流畅的交互体验；</w:t>
            </w:r>
          </w:p>
          <w:p>
            <w:pPr>
              <w:pStyle w:val="null3"/>
            </w:pPr>
            <w:r>
              <w:rPr>
                <w:rFonts w:ascii="仿宋_GB2312" w:hAnsi="仿宋_GB2312" w:cs="仿宋_GB2312" w:eastAsia="仿宋_GB2312"/>
              </w:rPr>
              <w:t>（2）网络适应性：系统能够根据网络环境自适应调整音视频质量，确保在不同带宽条件下的顺畅运行，减少延迟与卡顿；</w:t>
            </w:r>
          </w:p>
          <w:p>
            <w:pPr>
              <w:pStyle w:val="null3"/>
            </w:pPr>
            <w:r>
              <w:rPr>
                <w:rFonts w:ascii="仿宋_GB2312" w:hAnsi="仿宋_GB2312" w:cs="仿宋_GB2312" w:eastAsia="仿宋_GB2312"/>
              </w:rPr>
              <w:t>（3）多场景适配：支持多种Web端场景应用，无论是教育平台、直播系统还是其他互动应用场景，均可通过简单调用WebRTC接口实现快速集成；</w:t>
            </w:r>
          </w:p>
          <w:p>
            <w:pPr>
              <w:pStyle w:val="null3"/>
            </w:pPr>
            <w:r>
              <w:rPr>
                <w:rFonts w:ascii="仿宋_GB2312" w:hAnsi="仿宋_GB2312" w:cs="仿宋_GB2312" w:eastAsia="仿宋_GB2312"/>
              </w:rPr>
              <w:t>（4）跨平台兼容性：确保在不同浏览器与设备上的稳定性与兼容性，用户无需额外安装插件即可在主流浏览器中直接体验数字人交互功能。</w:t>
            </w:r>
          </w:p>
          <w:p>
            <w:pPr>
              <w:pStyle w:val="null3"/>
            </w:pPr>
            <w:r>
              <w:rPr>
                <w:rFonts w:ascii="仿宋_GB2312" w:hAnsi="仿宋_GB2312" w:cs="仿宋_GB2312" w:eastAsia="仿宋_GB2312"/>
              </w:rPr>
              <w:t>八、数字人本地客户端：</w:t>
            </w:r>
          </w:p>
          <w:p>
            <w:pPr>
              <w:pStyle w:val="null3"/>
            </w:pPr>
            <w:r>
              <w:rPr>
                <w:rFonts w:ascii="仿宋_GB2312" w:hAnsi="仿宋_GB2312" w:cs="仿宋_GB2312" w:eastAsia="仿宋_GB2312"/>
              </w:rPr>
              <w:t>（1）跨平台支持：本地推理客户端支持多种操作系统，包括中标麒麟、银河麒麟、UOS、Windows、Linux等，确保不同平台用户都能无缝使用。</w:t>
            </w:r>
          </w:p>
          <w:p>
            <w:pPr>
              <w:pStyle w:val="null3"/>
            </w:pPr>
            <w:r>
              <w:rPr>
                <w:rFonts w:ascii="仿宋_GB2312" w:hAnsi="仿宋_GB2312" w:cs="仿宋_GB2312" w:eastAsia="仿宋_GB2312"/>
              </w:rPr>
              <w:t>（2）硬件加速：系统支持多品牌GPU的硬件加速，如NVIDIA、AMD、Intel等，利用各品牌的加速技术（如DirectML、CUDA、Vulkan等）提升推理和渲染性能，大幅减少延迟，确保高质量的实时输出。</w:t>
            </w:r>
          </w:p>
          <w:p>
            <w:pPr>
              <w:pStyle w:val="null3"/>
            </w:pPr>
            <w:r>
              <w:rPr>
                <w:rFonts w:ascii="仿宋_GB2312" w:hAnsi="仿宋_GB2312" w:cs="仿宋_GB2312" w:eastAsia="仿宋_GB2312"/>
              </w:rPr>
              <w:t>（3）本地推理：所有推理任务均在本地完成，确保系统能够快速响应用户操作，无需依赖云端服务，减少网络依赖。</w:t>
            </w:r>
          </w:p>
          <w:p>
            <w:pPr>
              <w:pStyle w:val="null3"/>
            </w:pPr>
            <w:r>
              <w:rPr>
                <w:rFonts w:ascii="仿宋_GB2312" w:hAnsi="仿宋_GB2312" w:cs="仿宋_GB2312" w:eastAsia="仿宋_GB2312"/>
              </w:rPr>
              <w:t>（4）可扩展性：系统设计支持未来功能扩展，用户可通过升级硬件或软件，进一步增强推理与渲染能力。</w:t>
            </w:r>
          </w:p>
          <w:p>
            <w:pPr>
              <w:pStyle w:val="null3"/>
            </w:pPr>
            <w:r>
              <w:rPr>
                <w:rFonts w:ascii="仿宋_GB2312" w:hAnsi="仿宋_GB2312" w:cs="仿宋_GB2312" w:eastAsia="仿宋_GB2312"/>
              </w:rPr>
              <w:t>九、实时对话数字人：</w:t>
            </w:r>
          </w:p>
          <w:p>
            <w:pPr>
              <w:pStyle w:val="null3"/>
            </w:pPr>
            <w:r>
              <w:rPr>
                <w:rFonts w:ascii="仿宋_GB2312" w:hAnsi="仿宋_GB2312" w:cs="仿宋_GB2312" w:eastAsia="仿宋_GB2312"/>
              </w:rPr>
              <w:t>语音唤醒与实时打断：终端内置语音唤醒功能，用户可通过特定唤醒词启动数字人服务。系统支持实时语音打断和切换指令，用户在交互过程中可以即时改变指令或中断当前流程，实现更自然的交互体验。</w:t>
            </w:r>
          </w:p>
          <w:p>
            <w:pPr>
              <w:pStyle w:val="null3"/>
            </w:pPr>
            <w:r>
              <w:rPr>
                <w:rFonts w:ascii="仿宋_GB2312" w:hAnsi="仿宋_GB2312" w:cs="仿宋_GB2312" w:eastAsia="仿宋_GB2312"/>
              </w:rPr>
              <w:t>十、数字人生成：用户提供宣传文案后，系统自动生成符合学校形象的数字人形象，匹配温和专业的声音与表情，将文字内容转化为生动自然的视频介绍，并支持多平台适配输出。（须进行演示）</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AI应用开发1套</w:t>
            </w:r>
          </w:p>
          <w:p>
            <w:pPr>
              <w:pStyle w:val="null3"/>
            </w:pPr>
            <w:r>
              <w:rPr>
                <w:rFonts w:ascii="仿宋_GB2312" w:hAnsi="仿宋_GB2312" w:cs="仿宋_GB2312" w:eastAsia="仿宋_GB2312"/>
              </w:rPr>
              <w:t>一、总体要求</w:t>
            </w:r>
          </w:p>
          <w:p>
            <w:pPr>
              <w:pStyle w:val="null3"/>
            </w:pPr>
            <w:r>
              <w:rPr>
                <w:rFonts w:ascii="仿宋_GB2312" w:hAnsi="仿宋_GB2312" w:cs="仿宋_GB2312" w:eastAsia="仿宋_GB2312"/>
              </w:rPr>
              <w:t>需开发≥6个场景的智能体应用，智能招生服务、智能就业服务、办公助手、教师服务、学工服务、专业智能助手等面向全校师生的智能体服务及对应的数字人。具体智能体内容和要求由甲方确认，内容包括：</w:t>
            </w:r>
          </w:p>
          <w:p>
            <w:pPr>
              <w:pStyle w:val="null3"/>
            </w:pPr>
            <w:r>
              <w:rPr>
                <w:rFonts w:ascii="仿宋_GB2312" w:hAnsi="仿宋_GB2312" w:cs="仿宋_GB2312" w:eastAsia="仿宋_GB2312"/>
              </w:rPr>
              <w:t>1.智能招生服务：包括招生政策咨询、分数查询辅助、专业介绍导览、学校宣传推送、学校参观智能引导、迎新服务问答等。</w:t>
            </w:r>
          </w:p>
          <w:p>
            <w:pPr>
              <w:pStyle w:val="null3"/>
            </w:pPr>
            <w:r>
              <w:rPr>
                <w:rFonts w:ascii="仿宋_GB2312" w:hAnsi="仿宋_GB2312" w:cs="仿宋_GB2312" w:eastAsia="仿宋_GB2312"/>
              </w:rPr>
              <w:t>2.智能就业服务：包括招聘信息与智能简历、就业岗位咨询等。</w:t>
            </w:r>
          </w:p>
          <w:p>
            <w:pPr>
              <w:pStyle w:val="null3"/>
            </w:pPr>
            <w:r>
              <w:rPr>
                <w:rFonts w:ascii="仿宋_GB2312" w:hAnsi="仿宋_GB2312" w:cs="仿宋_GB2312" w:eastAsia="仿宋_GB2312"/>
              </w:rPr>
              <w:t>3.AI办公助手：包括办公文档快速定位、规章制度精准检索、案例总结辅助、方案规划智能推荐等。</w:t>
            </w:r>
          </w:p>
          <w:p>
            <w:pPr>
              <w:pStyle w:val="null3"/>
            </w:pPr>
            <w:r>
              <w:rPr>
                <w:rFonts w:ascii="仿宋_GB2312" w:hAnsi="仿宋_GB2312" w:cs="仿宋_GB2312" w:eastAsia="仿宋_GB2312"/>
              </w:rPr>
              <w:t>4.AI教师服务：包括个人数据查询、线上流程审批咨询、校园生活业务咨询、个人消费与工资收入查询、软件硬件设备使用指导、智能备课助手等。</w:t>
            </w:r>
          </w:p>
          <w:p>
            <w:pPr>
              <w:pStyle w:val="null3"/>
            </w:pPr>
            <w:r>
              <w:rPr>
                <w:rFonts w:ascii="仿宋_GB2312" w:hAnsi="仿宋_GB2312" w:cs="仿宋_GB2312" w:eastAsia="仿宋_GB2312"/>
              </w:rPr>
              <w:t>5.AI学工：包括奖评助贷咨询、生活服务咨询、学习指导服务等。</w:t>
            </w:r>
          </w:p>
          <w:p>
            <w:pPr>
              <w:pStyle w:val="null3"/>
            </w:pPr>
            <w:r>
              <w:rPr>
                <w:rFonts w:ascii="仿宋_GB2312" w:hAnsi="仿宋_GB2312" w:cs="仿宋_GB2312" w:eastAsia="仿宋_GB2312"/>
              </w:rPr>
              <w:t>6.专业智能助手：包括智能备课助手、专业知识问答、报告案例撰写、专业多模态资源生成、学术翻译等。</w:t>
            </w:r>
          </w:p>
          <w:p>
            <w:pPr>
              <w:pStyle w:val="null3"/>
            </w:pPr>
            <w:r>
              <w:rPr>
                <w:rFonts w:ascii="仿宋_GB2312" w:hAnsi="仿宋_GB2312" w:cs="仿宋_GB2312" w:eastAsia="仿宋_GB2312"/>
              </w:rPr>
              <w:t>7、学生身份快速识别：管理人员将学生的照片直接丢给智能体，智能体自动比对校园人脸数据库，快速识别学生身份并显示基本信息，包括姓名、学号、院系等信息，实现无接触式身份验证，提高校园安全管理效率。（须进行演示）</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其他要求：</w:t>
            </w:r>
            <w:r>
              <w:br/>
            </w:r>
            <w:r>
              <w:rPr>
                <w:rFonts w:ascii="仿宋_GB2312" w:hAnsi="仿宋_GB2312" w:cs="仿宋_GB2312" w:eastAsia="仿宋_GB2312"/>
              </w:rPr>
              <w:t xml:space="preserve"> 为推进AI校园基座及应用平台的建设，确保项目实施过程中的高效协同与技术支撑，学校提供场地，在校区内驻守3名技术服务团队成员，工作时间两年以上。包括提供项目经理1人，负责全程跟踪项目的开发与实施，直至该项目验收。实施技术人员不少于2名，实施人员有项目开发和实施经验，实施人员的调换要得到采购人的同意。</w:t>
            </w:r>
            <w:r>
              <w:br/>
            </w:r>
            <w:r>
              <w:rPr>
                <w:rFonts w:ascii="仿宋_GB2312" w:hAnsi="仿宋_GB2312" w:cs="仿宋_GB2312" w:eastAsia="仿宋_GB2312"/>
              </w:rPr>
              <w:t xml:space="preserve"> 该项目需采用定制开发的模式，以满足学校特殊需求，二次开发工作必须在驻场服务期前完成并通过测试。</w:t>
            </w:r>
            <w:r>
              <w:br/>
            </w:r>
            <w:r>
              <w:rPr>
                <w:rFonts w:ascii="仿宋_GB2312" w:hAnsi="仿宋_GB2312" w:cs="仿宋_GB2312" w:eastAsia="仿宋_GB2312"/>
              </w:rPr>
              <w:t xml:space="preserve"> 在本期项目的开发过程中和交付使用后，要求将各个阶段产生的全面、规范的成果和文档资料交付给采购人，而且要提供明确的交付清单。同时，成果和文档资料符合软件工程的相关要求。技术文档包括项目开发中的各种技术文档，如开发环境配置说明、软件工具清单、需求规格说明书、概要设计、详细设计、数据库设计文档、用户手册、测试用例、测试结果、系统维护说明、系统培训资料以及有关系统接口的技术说明等；管理文档包括项目开发中的一些工作文档，如计划、报告、讨论纲要、会议记录等；</w:t>
            </w:r>
            <w:r>
              <w:br/>
            </w:r>
            <w:r>
              <w:rPr>
                <w:rFonts w:ascii="仿宋_GB2312" w:hAnsi="仿宋_GB2312" w:cs="仿宋_GB2312" w:eastAsia="仿宋_GB2312"/>
              </w:rPr>
              <w:t xml:space="preserve"> ▲项目须提供完整且未加密的源代码和数据库、数据字典；安全承诺书和数据保密责任书；以及其他要求的竣工验收材料。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按采购文件、投标文件及合同约定执行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按采购文件、投标文件及合同约定执行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按采购文件、投标文件及合同约定执行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合同签订之日起30日历日内完成交付、安装及调试。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陕西国防工业职业技术学院北校区9-402</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按采购文件、投标文件及合同约定执行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乙方完成所有的服务，并提供验收报告给甲方，甲方组织验收，验收合格后乙方向甲方开具全额完税销售发票；甲方在收到发票后10天内支付合同总金额的100%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按采购文件、投标文件及合同约定执行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质保期：验收合格通过之日起2年。售后服务响应时间（质保期内）：30天内，产品出现质量问题，免费换新；30天后，产品出现质量问题，应及时响应（包括电话、微信、QQ等）；及时响应无法解决时，需4小时内到达现场，6 小时内修复；如在8小时内无法修复，则提供部件冗余服务或采取应急措施，提供相同产品或不低于故障产品规格档次的备用产品供采购人使用，以确保货物的正常使用。2、培训内容及要求：按照开发应用要求对学校相关责任人员进行业务培训。 3、供应商需自行准备演示相关网络及设备，并在评标现场进行演示（演示地点：西安市科技路30号合力紫郡B座21层指定会议室）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非法定代表人参加磋商的，须提供法定代表人委托授权书，法定代表人参加磋商时,只须提供法定代表人身份证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响应报价未超过采购预算或者最高限价(合格)，响应报价超过采购预算 或者最高限价(不合格)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服务期限满足采购文件最低要求(合格)，服务期限不满足采购文件最低要求(不合格)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质保期满足采购文件最低要求(合格)，质保期不满足采购文件最低要求(不合格)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响应文件的签署、盖章符合采购文件要求(合格)，响应文件的签署、盖章不符合采购文件要求 (不合格)</w:t>
            </w:r>
          </w:p>
        </w:tc>
        <w:tc>
          <w:tcPr>
            <w:tcW w:type="dxa" w:w="1661"/>
          </w:tcPr>
          <w:p>
            <w:pPr>
              <w:pStyle w:val="null3"/>
            </w:pPr>
            <w:r>
              <w:rPr>
                <w:rFonts w:ascii="仿宋_GB2312" w:hAnsi="仿宋_GB2312" w:cs="仿宋_GB2312" w:eastAsia="仿宋_GB2312"/>
              </w:rPr>
              <w:t>响应文件封面 分项报价表.docx 供应商资格要求.docx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响应文件响应有效期符合采购文件要求的(合格)，响应文件无响应有效期或有效期达不到采购文件要求的(不合格)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响应文件未含有采购人不能接受的附加条件的（合格），响应文件含有采购人不能接受的附加条件的（不合格）</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不存在法律、法规和采购文件规定的其他无效情形(合格)，存在法律、法规和采购文件规定的其他无效情形(不合格)</w:t>
            </w:r>
          </w:p>
        </w:tc>
        <w:tc>
          <w:tcPr>
            <w:tcW w:type="dxa" w:w="1661"/>
          </w:tcPr>
          <w:p>
            <w:pPr>
              <w:pStyle w:val="null3"/>
            </w:pPr>
            <w:r>
              <w:rPr>
                <w:rFonts w:ascii="仿宋_GB2312" w:hAnsi="仿宋_GB2312" w:cs="仿宋_GB2312" w:eastAsia="仿宋_GB2312"/>
              </w:rPr>
              <w:t>服务内容及服务邀请应答表 供应商认为有必要说明的其他问题.docx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根据供应商提供的服务内容及服务邀请应答表及相应的证明材料，经评审专家审定得分。 基本分（20分）：完全符合、响应采购文件要求计20分，▲参数负偏离一项扣2分，未带标识参数每负偏离一项扣1分，扣完为止。 备注：文件中要求提供证明材料而未提供或提供的证明材料不能证明的视为负偏离。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 ①项目总体实施方案；②项目团队方案；③项目实施时间安排方案；④系统安装调试方案；⑤项目验收方案；⑥与学校系统数据对接技术方案；⑦工作重点与难点分析及对应措施。 评审标准：方案各部分内容全面详细、阐述条例清晰详尽、符合本项目采购需求的，每项最高计1分，满分7分。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1、供应商需提供有效的信息安全管理体系认证证书、信息技术服务管理体系认证证书，且证书覆盖范围需包含大模型相关范围，每有一项证书得1分，本项最高得2分，缺项不得分。 2、供应商提供有效的ITSS运行维护服务认证二级（含）以上证书得2分，不提供不得分。（2分） 3、供应商提供有效的信息系统建设和服务能力等级证书CS2（含）以上证书得2分，不提供不得分。（2分） 4、供应商提供有效的数据管理能力成熟度3级DCMM（含）以上证书得2分，不提供不得分。（2分）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人员安排</w:t>
            </w:r>
          </w:p>
        </w:tc>
        <w:tc>
          <w:tcPr>
            <w:tcW w:type="dxa" w:w="2492"/>
          </w:tcPr>
          <w:p>
            <w:pPr>
              <w:pStyle w:val="null3"/>
            </w:pPr>
            <w:r>
              <w:rPr>
                <w:rFonts w:ascii="仿宋_GB2312" w:hAnsi="仿宋_GB2312" w:cs="仿宋_GB2312" w:eastAsia="仿宋_GB2312"/>
              </w:rPr>
              <w:t>1、项目经理具有提供由人力资源和社会保障部认证的信息系统高级项目管理师和由工信部认证的高级系统架构师的得2分，未提供或提供不全者不得分。 2、拟投入本项目技术人员具有CISAW标识的信息安全保障人员认证证书（认证方向为安全、开发）的，每提供一人得1分，本项最高得2分，未提供或提供不全者不得分。 3、拟投入本项目技术人员具有信创类相关证书的技术人员（项目经理除外），具备每提供一个人得1分，最多4分。（一人多证的以一人计算，相关证书是指由工信部认证的信息系统项目管理类、系统分析类、系统开发类、系统运维类、规划管理类、信息安全类等证书）。 注：须提供以上人员的证书及其社保证明（时间要求为自本项目采购公告发布之日开始计算，开标前半年内任意一个月社保缴纳证明）复印件（或扫描件）加盖公章附于响应文件中。未提供或未按要求提供的，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人员安排.docx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软件产品满足国产化信创要求，需支持国产操作系统、国产数据库、国产中间件实现兼容性适配。要求提供相关兼容性适配证明材料并加盖投标人公章。每提供一个软件产品计0.5分，最多计2分，未提供不得分。 2、提供质量保证方案。内容包含①整体配置具有合理性、一致性、兼容性②质量保证措施。 评审标准：方案各部分内容全面详细、阐述条例清晰详尽、符合本项目采购需求的，每项最高计2分，满分4分。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针对本项目的实际需求提供①总体售后服务方案、②售后人员安排、③售后服务响应时间。售后服务方案详尽、可行，响应等方面进行比较，每项最高计1分，满分3分。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 评审标准：方案各部分内容全面详细、阐述条例清晰详尽、符合本项目采购需求的，每项最高计1分，满分4分。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演示主要功能应基于自主研发的真实系统进行演示，演示时间控制在20分钟以内，满分9分，未演示完成不得分；演示的功能模块必须是实际提供给采购人的模块，视同应标内容，如涉及第三方接口，需明确标注；响应人采用视频等间接方式演示，则不得分。 演示项如下： 1、智能体创建：快速创建向导：为用户提供简单易用的向导，支持无编程经验的用户通过选择模板和设置参数来快速创建智能体。多模型支持：用户可以选择添加自己预训练的大模型和三方商用大模型（如通义千问、DeepSeek等），从而根据实际需求选择最适合的大模型。多语言支持：支持不同语言的智能体创建，用户可以根据需求选择中文、英文等不同语言的处理能力，满足跨语言场景的需求。功能模块选择：提供多种三方功能模块供用户选择，例如天气查询、实时搜索引擎、外部知识库等，用户可以根据自己的业务需求组合功能。智能体模板库：平台提供预设的智能体模板（如客服助手、知识问答、智能助手等），用户可以根据模板快速搭建自己的智能体，避免从头开始。可视化流程设计：通过拖拽式可视化界面，用户能够轻松定义智能体的工作流程，包括输入输出、任务处理逻辑等。 2、数字人生成：用户提供宣传文案后，系统自动生成符合学校形象的数字人形象，匹配温和专业的声音与表情，将文字内容转化为生动自然的视频介绍，并支持多平台适配输出。 3、学生身份快速识别：管理人员将学生的照片直接丢给智能体，智能体自动比对校园人脸数据库，快速识别学生身份并显示基本信息，包括姓名、学号、院系等信息，实现无接触式身份验证，提高校园安全管理效率。 根据演示内容的完整性、合理性、针对性等方面综合评审，每项最高得3分，满分9分。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提供2022年1月1日至今（以合同签订时间为准）的类似业绩，以业绩合同复印件为依据，每提供一个得1分，最高得5分。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价格分统一采用低价优先法计算，即满足采购文件要求且价格最低的响应报价为评标基准价，其价格分为满分。其他供应商的价格分统一按照下列公式计算：价格分=(评标基准价／响应报价)×报价分值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详见附件：人员安排.docx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