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版本号：SXZCZ-2025-ZHF601720251113001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陕西省民政厅编制养老产业发展规划项目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SXZCZ-2025-ZHF6017</w:t>
      </w:r>
      <w:r>
        <w:br/>
      </w:r>
      <w:r>
        <w:br/>
      </w:r>
      <w:r>
        <w:br/>
      </w:r>
    </w:p>
    <w:p>
      <w:pPr>
        <w:pStyle w:val="null3"/>
        <w:jc w:val="center"/>
        <w:outlineLvl w:val="5"/>
      </w:pPr>
      <w:r>
        <w:rPr>
          <w:rFonts w:ascii="仿宋_GB2312" w:hAnsi="仿宋_GB2312" w:cs="仿宋_GB2312" w:eastAsia="仿宋_GB2312"/>
          <w:sz w:val="15"/>
          <w:b/>
        </w:rPr>
        <w:t>陕西省民政厅机关</w:t>
      </w:r>
    </w:p>
    <w:p>
      <w:pPr>
        <w:pStyle w:val="null3"/>
        <w:jc w:val="center"/>
        <w:outlineLvl w:val="5"/>
      </w:pPr>
      <w:r>
        <w:rPr>
          <w:rFonts w:ascii="仿宋_GB2312" w:hAnsi="仿宋_GB2312" w:cs="仿宋_GB2312" w:eastAsia="仿宋_GB2312"/>
          <w:sz w:val="15"/>
          <w:b/>
        </w:rPr>
        <w:t>陕西中采招项目管理有限公司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陕西省民政厅编制养老产业发展规划项目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SXZCZ-2025-ZHF6017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陕西省民政厅编制养老产业发展规划项目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包括但不限于：编制养老产业发展规划、对规划组织评审等工作，规划需涵盖养老产业发展现状、趋势分析、发展目标、重点任务、政策措施等方面。</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p>
      <w:pPr>
        <w:pStyle w:val="null3"/>
      </w:pPr>
      <w:r>
        <w:rPr>
          <w:rFonts w:ascii="仿宋_GB2312" w:hAnsi="仿宋_GB2312" w:cs="仿宋_GB2312" w:eastAsia="仿宋_GB2312"/>
        </w:rPr>
        <w:t>2、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3、社会保障资金缴纳证明：提供2025年5月至今三个月的社保缴纳凭据或社保机构开具的社会保险参保缴纳情况证明。依法不需要缴纳社会保障资金的单位应提供相关证明材料。（复印件均加盖公章）</w:t>
      </w:r>
    </w:p>
    <w:p>
      <w:pPr>
        <w:pStyle w:val="null3"/>
      </w:pPr>
      <w:r>
        <w:rPr>
          <w:rFonts w:ascii="仿宋_GB2312" w:hAnsi="仿宋_GB2312" w:cs="仿宋_GB2312" w:eastAsia="仿宋_GB2312"/>
        </w:rPr>
        <w:t>4、授权函：法人提交法定代表人身份证明原件或者法定代表人授权委托书原件，及提供被授权代表人在投标单位近三个月的社保证明并附法定代表人身份证明原件，自然人提交身份证复印件。</w:t>
      </w:r>
    </w:p>
    <w:p>
      <w:pPr>
        <w:pStyle w:val="null3"/>
      </w:pPr>
      <w:r>
        <w:rPr>
          <w:rFonts w:ascii="仿宋_GB2312" w:hAnsi="仿宋_GB2312" w:cs="仿宋_GB2312" w:eastAsia="仿宋_GB2312"/>
        </w:rPr>
        <w:t>5、财产状况报告：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6、无重大违法记录的书面声明：提供参加本次政府采购活动前3年内，在经营活动中没有重大违法记录的书面声明。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7、信用中国：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8、承诺书：未被列入军队供应商暂停名单及未在军队采购供应商失信名单的截图。未在军队采购供应商失信名单禁入处罚期内的承诺书。</w:t>
      </w:r>
    </w:p>
    <w:p>
      <w:pPr>
        <w:pStyle w:val="null3"/>
      </w:pPr>
      <w:r>
        <w:rPr>
          <w:rFonts w:ascii="仿宋_GB2312" w:hAnsi="仿宋_GB2312" w:cs="仿宋_GB2312" w:eastAsia="仿宋_GB2312"/>
        </w:rPr>
        <w:t>9、承诺函：具备履行合同所必需的设备和专业技术能力的证明材料（由投标人根据项目需求提供承诺）。</w:t>
      </w:r>
    </w:p>
    <w:p>
      <w:pPr>
        <w:pStyle w:val="null3"/>
      </w:pPr>
      <w:r>
        <w:rPr>
          <w:rFonts w:ascii="仿宋_GB2312" w:hAnsi="仿宋_GB2312" w:cs="仿宋_GB2312" w:eastAsia="仿宋_GB2312"/>
        </w:rPr>
        <w:t>10、控股关系说明：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11、非联合体投标：非联合体投标的声明。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西安市新城区西新街1号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029-63917486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西安市未央区凤城四路中登广场西安国际企业中心B座706室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029-86254684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发展计划委员会计价格[2002]1980号文件、国家发展改革委员会办公厅颁发的《关于招标代理服务收费有关问题的通知》（发改办价格[2003]857号）规定的标准收取，不足伍仟元整按伍仟元计。</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满足相关行业验收标准。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包括但不限于：编制养老产业发展规划、对规划组织评审等工作，规划需涵盖养老产业发展现状、趋势分析、发展目标、重点任务、政策措施等方面。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陕西省民政厅编制养老产业发展规划项目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标的名称：陕西省民政厅编制养老产业发展规划项目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一、项目</w:t>
            </w:r>
            <w:r>
              <w:rPr>
                <w:rFonts w:ascii="仿宋_GB2312" w:hAnsi="仿宋_GB2312" w:cs="仿宋_GB2312" w:eastAsia="仿宋_GB2312"/>
                <w:sz w:val="22"/>
                <w:b/>
              </w:rPr>
              <w:t>概况</w:t>
            </w:r>
            <w:r>
              <w:rPr>
                <w:rFonts w:ascii="仿宋_GB2312" w:hAnsi="仿宋_GB2312" w:cs="仿宋_GB2312" w:eastAsia="仿宋_GB2312"/>
                <w:sz w:val="22"/>
              </w:rPr>
              <w:t>：</w:t>
            </w:r>
            <w:r>
              <w:rPr>
                <w:rFonts w:ascii="仿宋_GB2312" w:hAnsi="仿宋_GB2312" w:cs="仿宋_GB2312" w:eastAsia="仿宋_GB2312"/>
              </w:rPr>
              <w:t>包括但不限于：编制养老产业发展规划、对规划组织评审等工作，规划需涵盖养老产业发展现状、趋势分析、发展目标、重点任务、政策措施等方面。</w:t>
            </w:r>
          </w:p>
          <w:p>
            <w:pPr>
              <w:pStyle w:val="null3"/>
              <w:jc w:val="left"/>
            </w:pPr>
            <w:r>
              <w:rPr>
                <w:rFonts w:ascii="仿宋_GB2312" w:hAnsi="仿宋_GB2312" w:cs="仿宋_GB2312" w:eastAsia="仿宋_GB2312"/>
                <w:sz w:val="22"/>
                <w:b/>
                <w:color w:val="000000"/>
              </w:rPr>
              <w:t>二、服务期限：</w:t>
            </w:r>
            <w:r>
              <w:rPr>
                <w:rFonts w:ascii="仿宋_GB2312" w:hAnsi="仿宋_GB2312" w:cs="仿宋_GB2312" w:eastAsia="仿宋_GB2312"/>
              </w:rPr>
              <w:t>自合同签订之日起至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w:t>
            </w:r>
          </w:p>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服务要求</w:t>
            </w:r>
            <w:r>
              <w:rPr>
                <w:rFonts w:ascii="仿宋_GB2312" w:hAnsi="仿宋_GB2312" w:cs="仿宋_GB2312" w:eastAsia="仿宋_GB2312"/>
                <w:sz w:val="24"/>
                <w:b/>
                <w:color w:val="000000"/>
              </w:rPr>
              <w:t>：</w:t>
            </w:r>
          </w:p>
          <w:p>
            <w:pPr>
              <w:pStyle w:val="null3"/>
            </w:pPr>
            <w:r>
              <w:rPr>
                <w:rFonts w:ascii="仿宋_GB2312" w:hAnsi="仿宋_GB2312" w:cs="仿宋_GB2312" w:eastAsia="仿宋_GB2312"/>
              </w:rPr>
              <w:t>1.</w:t>
            </w:r>
            <w:r>
              <w:rPr>
                <w:rFonts w:ascii="仿宋_GB2312" w:hAnsi="仿宋_GB2312" w:cs="仿宋_GB2312" w:eastAsia="仿宋_GB2312"/>
              </w:rPr>
              <w:t>供应商需具备开展项目的技术能力及类似项目业绩的经验。</w:t>
            </w:r>
          </w:p>
          <w:p>
            <w:pPr>
              <w:pStyle w:val="null3"/>
              <w:jc w:val="both"/>
            </w:pPr>
            <w:r>
              <w:rPr>
                <w:rFonts w:ascii="仿宋_GB2312" w:hAnsi="仿宋_GB2312" w:cs="仿宋_GB2312" w:eastAsia="仿宋_GB2312"/>
              </w:rPr>
              <w:t>2.</w:t>
            </w:r>
            <w:r>
              <w:rPr>
                <w:rFonts w:ascii="仿宋_GB2312" w:hAnsi="仿宋_GB2312" w:cs="仿宋_GB2312" w:eastAsia="仿宋_GB2312"/>
              </w:rPr>
              <w:t>供应商需具备开展项目的技术人员配备。团队负责人应具有副高级以上专业技术职务，否则须有两名同专业的正高级专业技术职务人员的书面推荐。供应商需为本项目配备至少应具有</w:t>
            </w:r>
            <w:r>
              <w:rPr>
                <w:rFonts w:ascii="仿宋_GB2312" w:hAnsi="仿宋_GB2312" w:cs="仿宋_GB2312" w:eastAsia="仿宋_GB2312"/>
              </w:rPr>
              <w:t>4</w:t>
            </w:r>
            <w:r>
              <w:rPr>
                <w:rFonts w:ascii="仿宋_GB2312" w:hAnsi="仿宋_GB2312" w:cs="仿宋_GB2312" w:eastAsia="仿宋_GB2312"/>
              </w:rPr>
              <w:t>名高级职称专职人员的研究团队，研究团队中本单位人员比例不得低于</w:t>
            </w:r>
            <w:r>
              <w:rPr>
                <w:rFonts w:ascii="仿宋_GB2312" w:hAnsi="仿宋_GB2312" w:cs="仿宋_GB2312" w:eastAsia="仿宋_GB2312"/>
              </w:rPr>
              <w:t>80%</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编制的发展规划，能够全面、深入地分析陕西省银发经济的发展现状和趋势，提出科学合理的规划方案。规划方案涵盖产业发展定位、空间布局、产业链构建、政策措施等多个方面。在规划过程中能够提出创新性的思路和方法，推动陕西省银发经济</w:t>
            </w:r>
            <w:r>
              <w:rPr>
                <w:rFonts w:ascii="仿宋_GB2312" w:hAnsi="仿宋_GB2312" w:cs="仿宋_GB2312" w:eastAsia="仿宋_GB2312"/>
              </w:rPr>
              <w:t>(</w:t>
            </w:r>
            <w:r>
              <w:rPr>
                <w:rFonts w:ascii="仿宋_GB2312" w:hAnsi="仿宋_GB2312" w:cs="仿宋_GB2312" w:eastAsia="仿宋_GB2312"/>
              </w:rPr>
              <w:t>养老产业</w:t>
            </w:r>
            <w:r>
              <w:rPr>
                <w:rFonts w:ascii="仿宋_GB2312" w:hAnsi="仿宋_GB2312" w:cs="仿宋_GB2312" w:eastAsia="仿宋_GB2312"/>
              </w:rPr>
              <w:t>)</w:t>
            </w:r>
            <w:r>
              <w:rPr>
                <w:rFonts w:ascii="仿宋_GB2312" w:hAnsi="仿宋_GB2312" w:cs="仿宋_GB2312" w:eastAsia="仿宋_GB2312"/>
              </w:rPr>
              <w:t>的特色化发展。积极探索智慧养老、医养结合等新型养老服务模式提升养老服务的质量和效率。</w:t>
            </w:r>
          </w:p>
          <w:p>
            <w:pPr>
              <w:pStyle w:val="null3"/>
              <w:jc w:val="both"/>
            </w:pPr>
            <w:r>
              <w:rPr>
                <w:rFonts w:ascii="仿宋_GB2312" w:hAnsi="仿宋_GB2312" w:cs="仿宋_GB2312" w:eastAsia="仿宋_GB2312"/>
              </w:rPr>
              <w:t>4.</w:t>
            </w:r>
            <w:r>
              <w:rPr>
                <w:rFonts w:ascii="仿宋_GB2312" w:hAnsi="仿宋_GB2312" w:cs="仿宋_GB2312" w:eastAsia="仿宋_GB2312"/>
              </w:rPr>
              <w:t>能够提供全方位的服务，包括规划编制、实施指导效果评估等。具备与政府部门、养老机构等合作方的沟通协调能力，确保规划方案的顺利实施。</w:t>
            </w:r>
          </w:p>
          <w:p>
            <w:pPr>
              <w:pStyle w:val="null3"/>
              <w:jc w:val="both"/>
            </w:pPr>
            <w:r>
              <w:rPr>
                <w:rFonts w:ascii="仿宋_GB2312" w:hAnsi="仿宋_GB2312" w:cs="仿宋_GB2312" w:eastAsia="仿宋_GB2312"/>
              </w:rPr>
              <w:t>5.</w:t>
            </w:r>
            <w:r>
              <w:rPr>
                <w:rFonts w:ascii="仿宋_GB2312" w:hAnsi="仿宋_GB2312" w:cs="仿宋_GB2312" w:eastAsia="仿宋_GB2312"/>
              </w:rPr>
              <w:t>编写完成的养老产业发展规划，需经专家评审通过及委托方和相关部门确认。由此产生的相关费用全部由中标单位承担。</w:t>
            </w:r>
          </w:p>
          <w:p>
            <w:pPr>
              <w:pStyle w:val="null3"/>
              <w:jc w:val="both"/>
            </w:pPr>
            <w:r>
              <w:rPr>
                <w:rFonts w:ascii="仿宋_GB2312" w:hAnsi="仿宋_GB2312" w:cs="仿宋_GB2312" w:eastAsia="仿宋_GB2312"/>
              </w:rPr>
              <w:t>6.</w:t>
            </w:r>
            <w:r>
              <w:rPr>
                <w:rFonts w:ascii="仿宋_GB2312" w:hAnsi="仿宋_GB2312" w:cs="仿宋_GB2312" w:eastAsia="仿宋_GB2312"/>
              </w:rPr>
              <w:t>编制养老产业发展规划，形成的所有成果归陕西省民政厅所有。中标单位不得擅自将任何工作成果用于其他用途或交于第三方。</w:t>
            </w:r>
          </w:p>
          <w:p>
            <w:pPr>
              <w:pStyle w:val="null3"/>
              <w:jc w:val="both"/>
            </w:pPr>
            <w:r>
              <w:rPr>
                <w:rFonts w:ascii="仿宋_GB2312" w:hAnsi="仿宋_GB2312" w:cs="仿宋_GB2312" w:eastAsia="仿宋_GB2312"/>
              </w:rPr>
              <w:t>7.</w:t>
            </w:r>
            <w:r>
              <w:rPr>
                <w:rFonts w:ascii="仿宋_GB2312" w:hAnsi="仿宋_GB2312" w:cs="仿宋_GB2312" w:eastAsia="仿宋_GB2312"/>
              </w:rPr>
              <w:t>编制养老产业发展规划过程中产生的印刷费、差旅费、住宿费、审核审查费等，均已包含在合同总价中，由中标单位承担。</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其他相关事项遵守国家关于规划编制的相关规定。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项目全部完成并验收合格通过后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符合相关服务行业验收标准。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1.任何一方违反本合同保密义务，应赔偿因此给对方造成的所有损失，损失额度难以确定的，以本合同总费用的20%作为损失额。 2.乙方不得将本次委托事项转委托给任何第三方，未经甲方同意将本次委托工作转委托的，应向甲方支付本合同总费用10%的违约金，该违约金不因乙方事后纠正而免除。 3.甲方中途解除委托，应当向乙方支付已经发生的费用，并支付本合同总费用10%的违约金。 4.若乙方因自身原因延迟交付服务成果的，甲方有权根据延迟时间扣减相关服务费用。 5.甲、乙双方履行合同中发生争议的，应当友好协商解决，必要时形成书面的补充合同，补充合同与本合同具有同等效力。 6双方不愿协商、调解或者协商、调解不成的，可向甲方所在地有管辖权的人民法院起诉。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提供2025年5月至今三个月的社保缴纳凭据或社保机构开具的社会保险参保缴纳情况证明。依法不需要缴纳社会保障资金的单位应提供相关证明材料。（复印件均加盖公章）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授权函</w:t>
            </w:r>
          </w:p>
        </w:tc>
        <w:tc>
          <w:tcPr>
            <w:tcW w:type="dxa" w:w="3322"/>
          </w:tcPr>
          <w:p>
            <w:pPr>
              <w:pStyle w:val="null3"/>
            </w:pPr>
            <w:r>
              <w:rPr>
                <w:rFonts w:ascii="仿宋_GB2312" w:hAnsi="仿宋_GB2312" w:cs="仿宋_GB2312" w:eastAsia="仿宋_GB2312"/>
              </w:rPr>
              <w:t>法人提交法定代表人身份证明原件或者法定代表人授权委托书原件，及提供被授权代表人在投标单位近三个月的社保证明并附法定代表人身份证明原件，自然人提交身份证复印件。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财产状况报告</w:t>
            </w:r>
          </w:p>
        </w:tc>
        <w:tc>
          <w:tcPr>
            <w:tcW w:type="dxa" w:w="3322"/>
          </w:tcPr>
          <w:p>
            <w:pPr>
              <w:pStyle w:val="null3"/>
            </w:pPr>
            <w:r>
              <w:rPr>
                <w:rFonts w:ascii="仿宋_GB2312" w:hAnsi="仿宋_GB2312" w:cs="仿宋_GB2312" w:eastAsia="仿宋_GB2312"/>
              </w:rPr>
              <w:t>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未被列入军队供应商暂停名单及未在军队采购供应商失信名单的截图。未在军队采购供应商失信名单禁入处罚期内的承诺书。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非联合体投标的声明。</w:t>
            </w:r>
          </w:p>
        </w:tc>
        <w:tc>
          <w:tcPr>
            <w:tcW w:type="dxa" w:w="1661"/>
          </w:tcPr>
          <w:p>
            <w:pPr>
              <w:pStyle w:val="null3"/>
            </w:pPr>
            <w:r>
              <w:rPr>
                <w:rFonts w:ascii="仿宋_GB2312" w:hAnsi="仿宋_GB2312" w:cs="仿宋_GB2312" w:eastAsia="仿宋_GB2312"/>
              </w:rPr>
              <w:t>资格证明文件.pdf</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1）响应文件未按采购文件要求签署、盖章的； 2）资格证明文件不全的或无效的，或不符合国家规定的； 3）响应文件含有采购人不能接受的附加条件的； 4）无有效期或有效期（含各种授权有效期）达不到采购文件要求的； 5）供应商在同一份响应文件中，对同一产品有两个或多个报价的； 6）存在有重大缺漏项和重大偏离的； 7）供应商有串通协商、以他人名义协商、行贿、提供虚假证明（包括第三方提供的虚假证明），出现虚假应答的；8）法律、法规和采购文件规定的其他无效情形。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单一来源采购响应文件的完整性</w:t>
            </w:r>
          </w:p>
        </w:tc>
        <w:tc>
          <w:tcPr>
            <w:tcW w:type="dxa" w:w="3322"/>
          </w:tcPr>
          <w:p>
            <w:pPr>
              <w:pStyle w:val="null3"/>
            </w:pPr>
            <w:r>
              <w:rPr>
                <w:rFonts w:ascii="仿宋_GB2312" w:hAnsi="仿宋_GB2312" w:cs="仿宋_GB2312" w:eastAsia="仿宋_GB2312"/>
              </w:rPr>
              <w:t>单一来源采购响应文件构成是否有重大缺项，是否按照协商文件要求的格式编写单一来源采购响应文件。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单一来源采购响应文件的有效性</w:t>
            </w:r>
          </w:p>
        </w:tc>
        <w:tc>
          <w:tcPr>
            <w:tcW w:type="dxa" w:w="3322"/>
          </w:tcPr>
          <w:p>
            <w:pPr>
              <w:pStyle w:val="null3"/>
            </w:pPr>
            <w:r>
              <w:rPr>
                <w:rFonts w:ascii="仿宋_GB2312" w:hAnsi="仿宋_GB2312" w:cs="仿宋_GB2312" w:eastAsia="仿宋_GB2312"/>
              </w:rPr>
              <w:t>单一来源采购响应文件的签署、加盖印章是否合格、有效；提供的各种证明文件、数据、资料是否真实、有效。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资格证明文件.pdf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