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9534FF">
      <w:pPr>
        <w:pStyle w:val="6"/>
        <w:jc w:val="center"/>
        <w:outlineLvl w:val="1"/>
        <w:rPr>
          <w:rFonts w:hint="eastAsia" w:ascii="仿宋" w:hAnsi="仿宋" w:eastAsia="仿宋" w:cs="仿宋"/>
          <w:highlight w:val="none"/>
        </w:rPr>
      </w:pPr>
      <w:r>
        <w:rPr>
          <w:rFonts w:hint="eastAsia" w:ascii="仿宋" w:hAnsi="仿宋" w:eastAsia="仿宋" w:cs="仿宋"/>
          <w:b/>
          <w:sz w:val="36"/>
          <w:highlight w:val="none"/>
        </w:rPr>
        <w:t>第八章 拟签订采购合同文本</w:t>
      </w:r>
    </w:p>
    <w:p w14:paraId="02717423">
      <w:pPr>
        <w:spacing w:line="480" w:lineRule="auto"/>
        <w:ind w:firstLine="400" w:firstLineChars="200"/>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（本合同为合同样稿，最终稿由双方协商后确定）</w:t>
      </w:r>
    </w:p>
    <w:p w14:paraId="522F8CC3">
      <w:pPr>
        <w:keepNext w:val="0"/>
        <w:keepLines w:val="0"/>
        <w:pageBreakBefore w:val="0"/>
        <w:widowControl w:val="0"/>
        <w:kinsoku/>
        <w:wordWrap/>
        <w:overflowPunct/>
        <w:topLinePunct w:val="0"/>
        <w:bidi w:val="0"/>
        <w:adjustRightInd/>
        <w:snapToGrid/>
        <w:spacing w:line="360" w:lineRule="auto"/>
        <w:ind w:firstLine="402" w:firstLineChars="200"/>
        <w:textAlignment w:val="auto"/>
        <w:rPr>
          <w:rFonts w:hint="eastAsia" w:ascii="仿宋" w:hAnsi="仿宋" w:eastAsia="仿宋" w:cs="仿宋"/>
          <w:b/>
          <w:color w:val="000000"/>
          <w:sz w:val="20"/>
          <w:szCs w:val="20"/>
          <w:highlight w:val="none"/>
        </w:rPr>
      </w:pPr>
      <w:bookmarkStart w:id="0" w:name="_Hlt503233640"/>
      <w:bookmarkEnd w:id="0"/>
      <w:r>
        <w:rPr>
          <w:rFonts w:hint="eastAsia" w:ascii="仿宋" w:hAnsi="仿宋" w:eastAsia="仿宋" w:cs="仿宋"/>
          <w:b/>
          <w:color w:val="000000"/>
          <w:sz w:val="20"/>
          <w:szCs w:val="20"/>
          <w:highlight w:val="none"/>
          <w:lang w:val="en-US" w:eastAsia="zh-CN"/>
        </w:rPr>
        <w:t>甲方</w:t>
      </w:r>
      <w:r>
        <w:rPr>
          <w:rFonts w:hint="eastAsia" w:ascii="仿宋" w:hAnsi="仿宋" w:eastAsia="仿宋" w:cs="仿宋"/>
          <w:b/>
          <w:color w:val="000000"/>
          <w:sz w:val="20"/>
          <w:szCs w:val="20"/>
          <w:highlight w:val="none"/>
        </w:rPr>
        <w:t>（</w:t>
      </w:r>
      <w:r>
        <w:rPr>
          <w:rFonts w:hint="eastAsia" w:ascii="仿宋" w:hAnsi="仿宋" w:eastAsia="仿宋" w:cs="仿宋"/>
          <w:b/>
          <w:color w:val="000000"/>
          <w:sz w:val="20"/>
          <w:szCs w:val="20"/>
          <w:highlight w:val="none"/>
          <w:lang w:val="en-US" w:eastAsia="zh-CN"/>
        </w:rPr>
        <w:t>采购人</w:t>
      </w:r>
      <w:r>
        <w:rPr>
          <w:rFonts w:hint="eastAsia" w:ascii="仿宋" w:hAnsi="仿宋" w:eastAsia="仿宋" w:cs="仿宋"/>
          <w:b/>
          <w:color w:val="000000"/>
          <w:sz w:val="20"/>
          <w:szCs w:val="20"/>
          <w:highlight w:val="none"/>
        </w:rPr>
        <w:t>全称）：</w:t>
      </w:r>
      <w:r>
        <w:rPr>
          <w:rFonts w:hint="eastAsia" w:ascii="仿宋" w:hAnsi="仿宋" w:eastAsia="仿宋" w:cs="仿宋"/>
          <w:b/>
          <w:color w:val="000000"/>
          <w:sz w:val="20"/>
          <w:szCs w:val="20"/>
          <w:highlight w:val="none"/>
          <w:u w:val="single"/>
        </w:rPr>
        <w:t xml:space="preserve">  </w:t>
      </w:r>
      <w:r>
        <w:rPr>
          <w:rFonts w:hint="eastAsia" w:ascii="仿宋" w:hAnsi="仿宋" w:eastAsia="仿宋" w:cs="仿宋"/>
          <w:b/>
          <w:color w:val="000000"/>
          <w:sz w:val="20"/>
          <w:szCs w:val="20"/>
          <w:highlight w:val="none"/>
          <w:u w:val="single"/>
          <w:lang w:val="en-US" w:eastAsia="zh-CN"/>
        </w:rPr>
        <w:t xml:space="preserve"> </w:t>
      </w:r>
      <w:r>
        <w:rPr>
          <w:rFonts w:hint="eastAsia" w:ascii="仿宋" w:hAnsi="仿宋" w:eastAsia="仿宋" w:cs="仿宋"/>
          <w:b/>
          <w:color w:val="000000"/>
          <w:sz w:val="20"/>
          <w:szCs w:val="20"/>
          <w:highlight w:val="none"/>
          <w:u w:val="single"/>
        </w:rPr>
        <w:t xml:space="preserve">          </w:t>
      </w:r>
    </w:p>
    <w:p w14:paraId="2B275DDF">
      <w:pPr>
        <w:keepNext w:val="0"/>
        <w:keepLines w:val="0"/>
        <w:pageBreakBefore w:val="0"/>
        <w:widowControl w:val="0"/>
        <w:kinsoku/>
        <w:wordWrap/>
        <w:overflowPunct/>
        <w:topLinePunct w:val="0"/>
        <w:bidi w:val="0"/>
        <w:adjustRightInd/>
        <w:snapToGrid/>
        <w:spacing w:line="360" w:lineRule="auto"/>
        <w:ind w:firstLine="402" w:firstLineChars="200"/>
        <w:textAlignment w:val="auto"/>
        <w:rPr>
          <w:rFonts w:hint="eastAsia" w:ascii="仿宋" w:hAnsi="仿宋" w:eastAsia="仿宋" w:cs="仿宋"/>
          <w:color w:val="000000"/>
          <w:sz w:val="20"/>
          <w:szCs w:val="20"/>
          <w:u w:val="single"/>
        </w:rPr>
      </w:pPr>
      <w:r>
        <w:rPr>
          <w:rFonts w:hint="eastAsia" w:ascii="仿宋" w:hAnsi="仿宋" w:eastAsia="仿宋" w:cs="仿宋"/>
          <w:b/>
          <w:color w:val="000000"/>
          <w:sz w:val="20"/>
          <w:szCs w:val="20"/>
          <w:lang w:val="en-US" w:eastAsia="zh-CN"/>
        </w:rPr>
        <w:t>乙方</w:t>
      </w:r>
      <w:r>
        <w:rPr>
          <w:rFonts w:hint="eastAsia" w:ascii="仿宋" w:hAnsi="仿宋" w:eastAsia="仿宋" w:cs="仿宋"/>
          <w:b/>
          <w:color w:val="000000"/>
          <w:sz w:val="20"/>
          <w:szCs w:val="20"/>
        </w:rPr>
        <w:t>（</w:t>
      </w:r>
      <w:r>
        <w:rPr>
          <w:rFonts w:hint="eastAsia" w:ascii="仿宋" w:hAnsi="仿宋" w:eastAsia="仿宋" w:cs="仿宋"/>
          <w:b/>
          <w:color w:val="000000"/>
          <w:sz w:val="20"/>
          <w:szCs w:val="20"/>
          <w:lang w:val="en-US" w:eastAsia="zh-CN"/>
        </w:rPr>
        <w:t>成交供应商</w:t>
      </w:r>
      <w:r>
        <w:rPr>
          <w:rFonts w:hint="eastAsia" w:ascii="仿宋" w:hAnsi="仿宋" w:eastAsia="仿宋" w:cs="仿宋"/>
          <w:b/>
          <w:color w:val="000000"/>
          <w:sz w:val="20"/>
          <w:szCs w:val="20"/>
        </w:rPr>
        <w:t>全称）：</w:t>
      </w:r>
      <w:r>
        <w:rPr>
          <w:rFonts w:hint="eastAsia" w:ascii="仿宋" w:hAnsi="仿宋" w:eastAsia="仿宋" w:cs="仿宋"/>
          <w:b/>
          <w:color w:val="000000"/>
          <w:sz w:val="20"/>
          <w:szCs w:val="20"/>
          <w:u w:val="single"/>
        </w:rPr>
        <w:t xml:space="preserve">  </w:t>
      </w:r>
      <w:r>
        <w:rPr>
          <w:rFonts w:hint="eastAsia" w:ascii="仿宋" w:hAnsi="仿宋" w:eastAsia="仿宋" w:cs="仿宋"/>
          <w:b/>
          <w:color w:val="000000"/>
          <w:sz w:val="20"/>
          <w:szCs w:val="20"/>
          <w:u w:val="single"/>
          <w:lang w:val="en-US" w:eastAsia="zh-CN"/>
        </w:rPr>
        <w:t xml:space="preserve"> </w:t>
      </w:r>
      <w:r>
        <w:rPr>
          <w:rFonts w:hint="eastAsia" w:ascii="仿宋" w:hAnsi="仿宋" w:eastAsia="仿宋" w:cs="仿宋"/>
          <w:b/>
          <w:color w:val="000000"/>
          <w:sz w:val="20"/>
          <w:szCs w:val="20"/>
          <w:u w:val="single"/>
        </w:rPr>
        <w:t xml:space="preserve">    </w:t>
      </w:r>
      <w:r>
        <w:rPr>
          <w:rFonts w:hint="eastAsia" w:ascii="仿宋" w:hAnsi="仿宋" w:eastAsia="仿宋" w:cs="仿宋"/>
          <w:b/>
          <w:color w:val="000000"/>
          <w:sz w:val="20"/>
          <w:szCs w:val="20"/>
          <w:u w:val="single"/>
          <w:lang w:val="en-US" w:eastAsia="zh-CN"/>
        </w:rPr>
        <w:t xml:space="preserve">     </w:t>
      </w:r>
      <w:r>
        <w:rPr>
          <w:rFonts w:hint="eastAsia" w:ascii="仿宋" w:hAnsi="仿宋" w:eastAsia="仿宋" w:cs="仿宋"/>
          <w:color w:val="000000"/>
          <w:sz w:val="20"/>
          <w:szCs w:val="20"/>
          <w:u w:val="single"/>
        </w:rPr>
        <w:t xml:space="preserve"> </w:t>
      </w:r>
    </w:p>
    <w:p w14:paraId="02CD1FB1">
      <w:pPr>
        <w:keepNext w:val="0"/>
        <w:keepLines w:val="0"/>
        <w:pageBreakBefore w:val="0"/>
        <w:widowControl w:val="0"/>
        <w:kinsoku/>
        <w:wordWrap/>
        <w:overflowPunct/>
        <w:topLinePunct w:val="0"/>
        <w:bidi w:val="0"/>
        <w:adjustRightInd/>
        <w:snapToGrid/>
        <w:spacing w:line="360" w:lineRule="auto"/>
        <w:ind w:firstLine="400" w:firstLineChars="200"/>
        <w:textAlignment w:val="auto"/>
        <w:rPr>
          <w:rFonts w:hint="eastAsia" w:ascii="仿宋" w:hAnsi="仿宋" w:eastAsia="仿宋" w:cs="仿宋"/>
          <w:color w:val="000000" w:themeColor="text1"/>
          <w:sz w:val="20"/>
          <w:szCs w:val="20"/>
          <w:u w:val="single"/>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根据《中华人民共和国民法典》及其他有关法律、法规，遵循平等、自愿、公平和诚信的原则，双方就下述项目范围与相关服务事项协商一致，订立本合同。</w:t>
      </w:r>
    </w:p>
    <w:p w14:paraId="2FC46063">
      <w:pPr>
        <w:keepNext w:val="0"/>
        <w:keepLines w:val="0"/>
        <w:pageBreakBefore w:val="0"/>
        <w:widowControl w:val="0"/>
        <w:kinsoku/>
        <w:wordWrap/>
        <w:overflowPunct/>
        <w:topLinePunct w:val="0"/>
        <w:bidi w:val="0"/>
        <w:adjustRightInd/>
        <w:snapToGrid/>
        <w:spacing w:line="360" w:lineRule="auto"/>
        <w:textAlignment w:val="auto"/>
        <w:outlineLvl w:val="0"/>
        <w:rPr>
          <w:rFonts w:hint="eastAsia" w:ascii="仿宋" w:hAnsi="仿宋" w:eastAsia="仿宋" w:cs="仿宋"/>
          <w:b/>
          <w:color w:val="000000" w:themeColor="text1"/>
          <w:sz w:val="20"/>
          <w:szCs w:val="20"/>
          <w14:textFill>
            <w14:solidFill>
              <w14:schemeClr w14:val="tx1"/>
            </w14:solidFill>
          </w14:textFill>
        </w:rPr>
      </w:pPr>
      <w:r>
        <w:rPr>
          <w:rFonts w:hint="eastAsia" w:ascii="仿宋" w:hAnsi="仿宋" w:eastAsia="仿宋" w:cs="仿宋"/>
          <w:b/>
          <w:color w:val="000000" w:themeColor="text1"/>
          <w:sz w:val="20"/>
          <w:szCs w:val="20"/>
          <w14:textFill>
            <w14:solidFill>
              <w14:schemeClr w14:val="tx1"/>
            </w14:solidFill>
          </w14:textFill>
        </w:rPr>
        <w:t>一、项目概况</w:t>
      </w:r>
    </w:p>
    <w:p w14:paraId="0809250A">
      <w:pPr>
        <w:keepNext w:val="0"/>
        <w:keepLines w:val="0"/>
        <w:pageBreakBefore w:val="0"/>
        <w:widowControl w:val="0"/>
        <w:kinsoku/>
        <w:wordWrap/>
        <w:overflowPunct/>
        <w:topLinePunct w:val="0"/>
        <w:autoSpaceDE w:val="0"/>
        <w:autoSpaceDN w:val="0"/>
        <w:bidi w:val="0"/>
        <w:adjustRightInd/>
        <w:snapToGrid/>
        <w:spacing w:line="360" w:lineRule="auto"/>
        <w:ind w:firstLine="400" w:firstLineChars="200"/>
        <w:textAlignment w:val="auto"/>
        <w:outlineLvl w:val="9"/>
        <w:rPr>
          <w:rFonts w:hint="eastAsia" w:ascii="仿宋" w:hAnsi="仿宋" w:eastAsia="仿宋" w:cs="仿宋"/>
          <w:color w:val="000000" w:themeColor="text1"/>
          <w:sz w:val="20"/>
          <w:szCs w:val="20"/>
          <w:u w:val="single"/>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1.项目名称</w:t>
      </w:r>
      <w:r>
        <w:rPr>
          <w:rFonts w:hint="eastAsia" w:ascii="仿宋" w:hAnsi="仿宋" w:eastAsia="仿宋" w:cs="仿宋"/>
          <w:color w:val="000000" w:themeColor="text1"/>
          <w:sz w:val="20"/>
          <w:szCs w:val="20"/>
          <w:lang w:eastAsia="zh-CN"/>
          <w14:textFill>
            <w14:solidFill>
              <w14:schemeClr w14:val="tx1"/>
            </w14:solidFill>
          </w14:textFill>
        </w:rPr>
        <w:t>：陕西省无线电管理“十五五”规划编制支持服务</w:t>
      </w:r>
    </w:p>
    <w:p w14:paraId="009212E8">
      <w:pPr>
        <w:keepNext w:val="0"/>
        <w:keepLines w:val="0"/>
        <w:pageBreakBefore w:val="0"/>
        <w:widowControl w:val="0"/>
        <w:kinsoku/>
        <w:wordWrap/>
        <w:overflowPunct/>
        <w:topLinePunct w:val="0"/>
        <w:autoSpaceDE w:val="0"/>
        <w:autoSpaceDN w:val="0"/>
        <w:bidi w:val="0"/>
        <w:adjustRightInd/>
        <w:snapToGrid/>
        <w:spacing w:line="360" w:lineRule="auto"/>
        <w:ind w:firstLine="400" w:firstLineChars="200"/>
        <w:textAlignment w:val="auto"/>
        <w:outlineLvl w:val="9"/>
        <w:rPr>
          <w:rFonts w:hint="eastAsia" w:ascii="仿宋" w:hAnsi="仿宋" w:eastAsia="仿宋" w:cs="仿宋"/>
          <w:color w:val="000000" w:themeColor="text1"/>
          <w:sz w:val="20"/>
          <w:szCs w:val="20"/>
          <w:u w:val="none"/>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2.项目地点</w:t>
      </w:r>
      <w:r>
        <w:rPr>
          <w:rFonts w:hint="eastAsia" w:ascii="仿宋" w:hAnsi="仿宋" w:eastAsia="仿宋" w:cs="仿宋"/>
          <w:color w:val="000000" w:themeColor="text1"/>
          <w:sz w:val="20"/>
          <w:szCs w:val="20"/>
          <w:lang w:eastAsia="zh-CN"/>
          <w14:textFill>
            <w14:solidFill>
              <w14:schemeClr w14:val="tx1"/>
            </w14:solidFill>
          </w14:textFill>
        </w:rPr>
        <w:t>：</w:t>
      </w:r>
      <w:r>
        <w:rPr>
          <w:rFonts w:hint="eastAsia" w:ascii="仿宋" w:hAnsi="仿宋" w:eastAsia="仿宋" w:cs="仿宋"/>
          <w:color w:val="000000" w:themeColor="text1"/>
          <w:sz w:val="20"/>
          <w:szCs w:val="20"/>
          <w:lang w:val="en-US" w:eastAsia="zh-CN"/>
          <w14:textFill>
            <w14:solidFill>
              <w14:schemeClr w14:val="tx1"/>
            </w14:solidFill>
          </w14:textFill>
        </w:rPr>
        <w:t>陕西省西安市</w:t>
      </w:r>
      <w:r>
        <w:rPr>
          <w:rFonts w:hint="eastAsia" w:ascii="仿宋" w:hAnsi="仿宋" w:eastAsia="仿宋" w:cs="仿宋"/>
          <w:color w:val="000000" w:themeColor="text1"/>
          <w:sz w:val="20"/>
          <w:szCs w:val="20"/>
          <w:u w:val="none"/>
          <w:lang w:val="en-US" w:eastAsia="zh-CN"/>
          <w14:textFill>
            <w14:solidFill>
              <w14:schemeClr w14:val="tx1"/>
            </w14:solidFill>
          </w14:textFill>
        </w:rPr>
        <w:t>。</w:t>
      </w:r>
      <w:r>
        <w:rPr>
          <w:rFonts w:hint="eastAsia" w:ascii="仿宋" w:hAnsi="仿宋" w:eastAsia="仿宋" w:cs="仿宋"/>
          <w:color w:val="000000" w:themeColor="text1"/>
          <w:sz w:val="20"/>
          <w:szCs w:val="20"/>
          <w:u w:val="none"/>
          <w14:textFill>
            <w14:solidFill>
              <w14:schemeClr w14:val="tx1"/>
            </w14:solidFill>
          </w14:textFill>
        </w:rPr>
        <w:t xml:space="preserve">                      </w:t>
      </w:r>
      <w:r>
        <w:rPr>
          <w:rFonts w:hint="eastAsia" w:ascii="仿宋" w:hAnsi="仿宋" w:eastAsia="仿宋" w:cs="仿宋"/>
          <w:color w:val="000000" w:themeColor="text1"/>
          <w:sz w:val="20"/>
          <w:szCs w:val="20"/>
          <w:u w:val="none"/>
          <w:lang w:val="en-US" w:eastAsia="zh-CN"/>
          <w14:textFill>
            <w14:solidFill>
              <w14:schemeClr w14:val="tx1"/>
            </w14:solidFill>
          </w14:textFill>
        </w:rPr>
        <w:t xml:space="preserve">   </w:t>
      </w:r>
      <w:r>
        <w:rPr>
          <w:rFonts w:hint="eastAsia" w:ascii="仿宋" w:hAnsi="仿宋" w:eastAsia="仿宋" w:cs="仿宋"/>
          <w:color w:val="000000" w:themeColor="text1"/>
          <w:sz w:val="20"/>
          <w:szCs w:val="20"/>
          <w:u w:val="none"/>
          <w14:textFill>
            <w14:solidFill>
              <w14:schemeClr w14:val="tx1"/>
            </w14:solidFill>
          </w14:textFill>
        </w:rPr>
        <w:t xml:space="preserve">         </w:t>
      </w:r>
    </w:p>
    <w:p w14:paraId="2923F287">
      <w:pPr>
        <w:keepNext w:val="0"/>
        <w:keepLines w:val="0"/>
        <w:pageBreakBefore w:val="0"/>
        <w:widowControl w:val="0"/>
        <w:kinsoku/>
        <w:wordWrap/>
        <w:overflowPunct/>
        <w:topLinePunct w:val="0"/>
        <w:autoSpaceDE w:val="0"/>
        <w:autoSpaceDN w:val="0"/>
        <w:bidi w:val="0"/>
        <w:adjustRightInd/>
        <w:snapToGrid/>
        <w:spacing w:line="360" w:lineRule="auto"/>
        <w:ind w:firstLine="400" w:firstLineChars="200"/>
        <w:textAlignment w:val="auto"/>
        <w:outlineLvl w:val="9"/>
        <w:rPr>
          <w:rFonts w:hint="eastAsia" w:ascii="仿宋" w:hAnsi="仿宋" w:eastAsia="仿宋" w:cs="仿宋"/>
          <w:color w:val="000000" w:themeColor="text1"/>
          <w:sz w:val="20"/>
          <w:szCs w:val="20"/>
          <w:lang w:eastAsia="zh-CN"/>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3.项目</w:t>
      </w:r>
      <w:r>
        <w:rPr>
          <w:rFonts w:hint="eastAsia" w:ascii="仿宋" w:hAnsi="仿宋" w:eastAsia="仿宋" w:cs="仿宋"/>
          <w:color w:val="000000" w:themeColor="text1"/>
          <w:sz w:val="20"/>
          <w:szCs w:val="20"/>
          <w:lang w:eastAsia="zh-CN"/>
          <w14:textFill>
            <w14:solidFill>
              <w14:schemeClr w14:val="tx1"/>
            </w14:solidFill>
          </w14:textFill>
        </w:rPr>
        <w:t>概况：“十四五”期间，陕西省无线电管理机构深入贯彻“三管理、三服务、一突出”的总体要求，全面提升频谱资源开发利用和电磁空间保障能力，推动我省无线电管理事业融入经济社会发展大局，在赋能新型工业化、发展新质生产力，支撑制造强国、网络强国、航天强国建设，推动无线电事业高质量发展等方面发挥了重要作用。</w:t>
      </w:r>
    </w:p>
    <w:p w14:paraId="6D00BCF3">
      <w:pPr>
        <w:keepNext w:val="0"/>
        <w:keepLines w:val="0"/>
        <w:pageBreakBefore w:val="0"/>
        <w:widowControl w:val="0"/>
        <w:kinsoku/>
        <w:wordWrap/>
        <w:overflowPunct/>
        <w:topLinePunct w:val="0"/>
        <w:autoSpaceDE w:val="0"/>
        <w:autoSpaceDN w:val="0"/>
        <w:bidi w:val="0"/>
        <w:adjustRightInd/>
        <w:snapToGrid/>
        <w:spacing w:line="360" w:lineRule="auto"/>
        <w:ind w:firstLine="400" w:firstLineChars="200"/>
        <w:textAlignment w:val="auto"/>
        <w:outlineLvl w:val="9"/>
        <w:rPr>
          <w:rFonts w:hint="eastAsia" w:ascii="仿宋" w:hAnsi="仿宋" w:eastAsia="仿宋" w:cs="仿宋"/>
          <w:color w:val="000000" w:themeColor="text1"/>
          <w:sz w:val="20"/>
          <w:szCs w:val="20"/>
          <w:lang w:eastAsia="zh-CN"/>
          <w14:textFill>
            <w14:solidFill>
              <w14:schemeClr w14:val="tx1"/>
            </w14:solidFill>
          </w14:textFill>
        </w:rPr>
      </w:pPr>
      <w:r>
        <w:rPr>
          <w:rFonts w:hint="eastAsia" w:ascii="仿宋" w:hAnsi="仿宋" w:eastAsia="仿宋" w:cs="仿宋"/>
          <w:color w:val="000000" w:themeColor="text1"/>
          <w:sz w:val="20"/>
          <w:szCs w:val="20"/>
          <w:lang w:eastAsia="zh-CN"/>
          <w14:textFill>
            <w14:solidFill>
              <w14:schemeClr w14:val="tx1"/>
            </w14:solidFill>
          </w14:textFill>
        </w:rPr>
        <w:t>“十五五”时期，是我国全面建设社会主义现代化国家、向第二个百年奋斗目标进军的第二个五年。无线电频谱资源成为推进制造强国、航天强国、交通强国、网络强国、数字中国及新型工业化建设的关键要素。为适应国内外新的形势变化，积极应对新时代的挑战与迎接新发展机遇，亟需开展“十四五”陕西省无线电管理和发展规划终期评估及“十五五”规划编制工作，科学管理频谱资源，筑牢电磁空间安全屏障，推动和保障无线电事业高质量发展。</w:t>
      </w:r>
    </w:p>
    <w:p w14:paraId="42A9AAE3">
      <w:pPr>
        <w:pStyle w:val="2"/>
        <w:keepNext w:val="0"/>
        <w:keepLines w:val="0"/>
        <w:pageBreakBefore w:val="0"/>
        <w:widowControl w:val="0"/>
        <w:kinsoku/>
        <w:wordWrap/>
        <w:overflowPunct/>
        <w:topLinePunct w:val="0"/>
        <w:bidi w:val="0"/>
        <w:adjustRightInd/>
        <w:snapToGrid/>
        <w:spacing w:line="360" w:lineRule="auto"/>
        <w:textAlignment w:val="auto"/>
        <w:outlineLvl w:val="9"/>
        <w:rPr>
          <w:rFonts w:hint="eastAsia" w:ascii="仿宋" w:hAnsi="仿宋" w:eastAsia="仿宋" w:cs="仿宋"/>
          <w:sz w:val="20"/>
          <w:szCs w:val="20"/>
          <w:lang w:val="en-US" w:eastAsia="zh-CN"/>
        </w:rPr>
      </w:pPr>
      <w:r>
        <w:rPr>
          <w:rFonts w:hint="eastAsia" w:ascii="仿宋" w:hAnsi="仿宋" w:eastAsia="仿宋" w:cs="仿宋"/>
          <w:color w:val="000000"/>
          <w:sz w:val="20"/>
          <w:szCs w:val="20"/>
          <w:lang w:val="en-US" w:eastAsia="zh-CN"/>
        </w:rPr>
        <w:t>4.服务期限：成交供应商应在合同签订后十二个月内提交项目成果，并配合甲方开展后续项目验收工作，具体验收时间由甲方安排。。</w:t>
      </w:r>
    </w:p>
    <w:p w14:paraId="060998A9">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仿宋" w:hAnsi="仿宋" w:eastAsia="仿宋" w:cs="仿宋"/>
          <w:b/>
          <w:color w:val="000000"/>
          <w:sz w:val="20"/>
          <w:szCs w:val="20"/>
          <w:lang w:val="en-US" w:eastAsia="zh-CN"/>
        </w:rPr>
      </w:pPr>
      <w:r>
        <w:rPr>
          <w:rFonts w:hint="eastAsia" w:ascii="仿宋" w:hAnsi="仿宋" w:eastAsia="仿宋" w:cs="仿宋"/>
          <w:b/>
          <w:color w:val="000000"/>
          <w:sz w:val="20"/>
          <w:szCs w:val="20"/>
          <w:lang w:val="en-US" w:eastAsia="zh-CN"/>
        </w:rPr>
        <w:t>二、组成本合同的文件</w:t>
      </w:r>
    </w:p>
    <w:p w14:paraId="6102BB71">
      <w:pPr>
        <w:keepNext w:val="0"/>
        <w:keepLines w:val="0"/>
        <w:pageBreakBefore w:val="0"/>
        <w:widowControl w:val="0"/>
        <w:kinsoku/>
        <w:wordWrap/>
        <w:overflowPunct/>
        <w:topLinePunct w:val="0"/>
        <w:autoSpaceDE w:val="0"/>
        <w:autoSpaceDN w:val="0"/>
        <w:bidi w:val="0"/>
        <w:adjustRightInd/>
        <w:snapToGrid/>
        <w:spacing w:line="360" w:lineRule="auto"/>
        <w:ind w:firstLine="400" w:firstLineChars="200"/>
        <w:textAlignment w:val="auto"/>
        <w:outlineLvl w:val="9"/>
        <w:rPr>
          <w:rFonts w:hint="eastAsia"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1.协议书；</w:t>
      </w:r>
    </w:p>
    <w:p w14:paraId="457E008F">
      <w:pPr>
        <w:keepNext w:val="0"/>
        <w:keepLines w:val="0"/>
        <w:pageBreakBefore w:val="0"/>
        <w:widowControl w:val="0"/>
        <w:kinsoku/>
        <w:wordWrap/>
        <w:overflowPunct/>
        <w:topLinePunct w:val="0"/>
        <w:autoSpaceDE w:val="0"/>
        <w:autoSpaceDN w:val="0"/>
        <w:bidi w:val="0"/>
        <w:adjustRightInd/>
        <w:snapToGrid/>
        <w:spacing w:line="360" w:lineRule="auto"/>
        <w:ind w:firstLine="400" w:firstLineChars="200"/>
        <w:textAlignment w:val="auto"/>
        <w:outlineLvl w:val="9"/>
        <w:rPr>
          <w:rFonts w:hint="eastAsia"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2.成交通知书、磋商响应文件、磋商文件、澄清、磋商补充文件（或委托书）；</w:t>
      </w:r>
    </w:p>
    <w:p w14:paraId="6CA7AA78">
      <w:pPr>
        <w:keepNext w:val="0"/>
        <w:keepLines w:val="0"/>
        <w:pageBreakBefore w:val="0"/>
        <w:widowControl w:val="0"/>
        <w:kinsoku/>
        <w:wordWrap/>
        <w:overflowPunct/>
        <w:topLinePunct w:val="0"/>
        <w:autoSpaceDE w:val="0"/>
        <w:autoSpaceDN w:val="0"/>
        <w:bidi w:val="0"/>
        <w:adjustRightInd/>
        <w:snapToGrid/>
        <w:spacing w:line="360" w:lineRule="auto"/>
        <w:ind w:firstLine="400" w:firstLineChars="200"/>
        <w:textAlignment w:val="auto"/>
        <w:outlineLvl w:val="9"/>
        <w:rPr>
          <w:rFonts w:hint="eastAsia"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3.相关服务建议书；</w:t>
      </w:r>
    </w:p>
    <w:p w14:paraId="3D0BC766">
      <w:pPr>
        <w:keepNext w:val="0"/>
        <w:keepLines w:val="0"/>
        <w:pageBreakBefore w:val="0"/>
        <w:widowControl w:val="0"/>
        <w:kinsoku/>
        <w:wordWrap/>
        <w:overflowPunct/>
        <w:topLinePunct w:val="0"/>
        <w:autoSpaceDE w:val="0"/>
        <w:autoSpaceDN w:val="0"/>
        <w:bidi w:val="0"/>
        <w:adjustRightInd/>
        <w:snapToGrid/>
        <w:spacing w:line="360" w:lineRule="auto"/>
        <w:ind w:firstLine="400" w:firstLineChars="200"/>
        <w:textAlignment w:val="auto"/>
        <w:outlineLvl w:val="9"/>
        <w:rPr>
          <w:rFonts w:hint="eastAsia"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4.附录，</w:t>
      </w:r>
    </w:p>
    <w:p w14:paraId="0A86D5D7">
      <w:pPr>
        <w:keepNext w:val="0"/>
        <w:keepLines w:val="0"/>
        <w:pageBreakBefore w:val="0"/>
        <w:widowControl w:val="0"/>
        <w:kinsoku/>
        <w:wordWrap/>
        <w:overflowPunct/>
        <w:topLinePunct w:val="0"/>
        <w:autoSpaceDE w:val="0"/>
        <w:autoSpaceDN w:val="0"/>
        <w:bidi w:val="0"/>
        <w:adjustRightInd/>
        <w:snapToGrid/>
        <w:spacing w:line="360" w:lineRule="auto"/>
        <w:ind w:firstLine="400" w:firstLineChars="200"/>
        <w:textAlignment w:val="auto"/>
        <w:outlineLvl w:val="9"/>
        <w:rPr>
          <w:rFonts w:hint="eastAsia"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本合同签订后，双方依法签订的补充协议也是本合同文件的组成部分。</w:t>
      </w:r>
    </w:p>
    <w:p w14:paraId="59AE37E8">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仿宋" w:hAnsi="仿宋" w:eastAsia="仿宋" w:cs="仿宋"/>
          <w:b/>
          <w:color w:val="000000"/>
          <w:sz w:val="20"/>
          <w:szCs w:val="20"/>
          <w:lang w:val="en-US" w:eastAsia="zh-CN"/>
        </w:rPr>
      </w:pPr>
      <w:r>
        <w:rPr>
          <w:rFonts w:hint="eastAsia" w:ascii="仿宋" w:hAnsi="仿宋" w:eastAsia="仿宋" w:cs="仿宋"/>
          <w:b/>
          <w:color w:val="000000"/>
          <w:sz w:val="20"/>
          <w:szCs w:val="20"/>
          <w:lang w:val="en-US" w:eastAsia="zh-CN"/>
        </w:rPr>
        <w:t>三、服务工作具体要求</w:t>
      </w:r>
    </w:p>
    <w:p w14:paraId="7D9B87BC">
      <w:pPr>
        <w:pStyle w:val="2"/>
        <w:keepNext w:val="0"/>
        <w:keepLines w:val="0"/>
        <w:pageBreakBefore w:val="0"/>
        <w:widowControl w:val="0"/>
        <w:kinsoku/>
        <w:wordWrap/>
        <w:overflowPunct/>
        <w:topLinePunct w:val="0"/>
        <w:autoSpaceDE/>
        <w:autoSpaceDN/>
        <w:bidi w:val="0"/>
        <w:adjustRightInd/>
        <w:snapToGrid/>
        <w:spacing w:line="360" w:lineRule="auto"/>
        <w:textAlignment w:val="auto"/>
        <w:outlineLvl w:val="1"/>
        <w:rPr>
          <w:rFonts w:hint="eastAsia"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lang w:val="en-US" w:eastAsia="zh-CN" w:bidi="ar-SA"/>
        </w:rPr>
        <w:t>（一）服务内容</w:t>
      </w:r>
    </w:p>
    <w:p w14:paraId="0D6D0138">
      <w:pPr>
        <w:pStyle w:val="2"/>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themeColor="text1"/>
          <w:kern w:val="0"/>
          <w:sz w:val="20"/>
          <w:szCs w:val="20"/>
          <w:lang w:val="en-US" w:eastAsia="zh-CN" w:bidi="ar-SA"/>
          <w14:textFill>
            <w14:solidFill>
              <w14:schemeClr w14:val="tx1"/>
            </w14:solidFill>
          </w14:textFill>
        </w:rPr>
      </w:pPr>
      <w:r>
        <w:rPr>
          <w:rFonts w:hint="eastAsia" w:ascii="仿宋" w:hAnsi="仿宋" w:eastAsia="仿宋" w:cs="仿宋"/>
          <w:color w:val="000000" w:themeColor="text1"/>
          <w:kern w:val="0"/>
          <w:sz w:val="20"/>
          <w:szCs w:val="20"/>
          <w:lang w:val="en-US" w:eastAsia="zh-CN" w:bidi="ar-SA"/>
          <w14:textFill>
            <w14:solidFill>
              <w14:schemeClr w14:val="tx1"/>
            </w14:solidFill>
          </w14:textFill>
        </w:rPr>
        <w:t>以国家无线电频谱中长期规划为引领，充分掌握“十五五”国家无线电管理和发展规划工作要求，学深悟透习近平总书记关于新型工业化的重要论述，准确把握无线电管理工作的新形势、新要求和重点任务，结合陕西省无线电管理工作实际，扎实开展“十四五”陕西省无线电管理和发展规划终期评估及陕西省无线电管理和发展“十五五”规划编制工作。</w:t>
      </w:r>
    </w:p>
    <w:p w14:paraId="2A395D37">
      <w:pPr>
        <w:pStyle w:val="2"/>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themeColor="text1"/>
          <w:kern w:val="0"/>
          <w:sz w:val="20"/>
          <w:szCs w:val="20"/>
          <w:lang w:val="en-US" w:eastAsia="zh-CN" w:bidi="ar-SA"/>
          <w14:textFill>
            <w14:solidFill>
              <w14:schemeClr w14:val="tx1"/>
            </w14:solidFill>
          </w14:textFill>
        </w:rPr>
      </w:pPr>
      <w:r>
        <w:rPr>
          <w:rFonts w:hint="eastAsia" w:ascii="仿宋" w:hAnsi="仿宋" w:eastAsia="仿宋" w:cs="仿宋"/>
          <w:color w:val="000000" w:themeColor="text1"/>
          <w:kern w:val="0"/>
          <w:sz w:val="20"/>
          <w:szCs w:val="20"/>
          <w:lang w:val="en-US" w:eastAsia="zh-CN" w:bidi="ar-SA"/>
          <w14:textFill>
            <w14:solidFill>
              <w14:schemeClr w14:val="tx1"/>
            </w14:solidFill>
          </w14:textFill>
        </w:rPr>
        <w:t>1.“十四五”陕西省无线电管理和发展规划终期评估</w:t>
      </w:r>
    </w:p>
    <w:p w14:paraId="2E94C93A">
      <w:pPr>
        <w:pStyle w:val="2"/>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themeColor="text1"/>
          <w:kern w:val="0"/>
          <w:sz w:val="20"/>
          <w:szCs w:val="20"/>
          <w:lang w:val="en-US" w:eastAsia="zh-CN" w:bidi="ar-SA"/>
          <w14:textFill>
            <w14:solidFill>
              <w14:schemeClr w14:val="tx1"/>
            </w14:solidFill>
          </w14:textFill>
        </w:rPr>
      </w:pPr>
      <w:r>
        <w:rPr>
          <w:rFonts w:hint="eastAsia" w:ascii="仿宋" w:hAnsi="仿宋" w:eastAsia="仿宋" w:cs="仿宋"/>
          <w:color w:val="000000" w:themeColor="text1"/>
          <w:kern w:val="0"/>
          <w:sz w:val="20"/>
          <w:szCs w:val="20"/>
          <w:lang w:val="en-US" w:eastAsia="zh-CN" w:bidi="ar-SA"/>
          <w14:textFill>
            <w14:solidFill>
              <w14:schemeClr w14:val="tx1"/>
            </w14:solidFill>
          </w14:textFill>
        </w:rPr>
        <w:t>一是根据国家“十四五”规划的任务和目标，结合国家对地方省市无线电管理机构的任务要求和我省无线电管理工作开展情况，梳理陕西省落实国家规划评估的主要内容、要点。二是对“十四五”陕西省无线电管理和发展规划进行全面回顾分析，评估“十四五”期间全省无线电管理工作主要目标完成情况，梳理“十四五”以来取得的成效，总结规划实施过程中的成功经验和主要问题，形成《〈“十四五”陕西省无线电管理和发展规划〉终期评估报告》，用于指导《陕西省无线电管理和发展“十五五”规划》编制工作。</w:t>
      </w:r>
    </w:p>
    <w:p w14:paraId="08FA49C1">
      <w:pPr>
        <w:pStyle w:val="2"/>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themeColor="text1"/>
          <w:kern w:val="0"/>
          <w:sz w:val="20"/>
          <w:szCs w:val="20"/>
          <w:lang w:val="en-US" w:eastAsia="zh-CN" w:bidi="ar-SA"/>
          <w14:textFill>
            <w14:solidFill>
              <w14:schemeClr w14:val="tx1"/>
            </w14:solidFill>
          </w14:textFill>
        </w:rPr>
      </w:pPr>
      <w:r>
        <w:rPr>
          <w:rFonts w:hint="eastAsia" w:ascii="仿宋" w:hAnsi="仿宋" w:eastAsia="仿宋" w:cs="仿宋"/>
          <w:color w:val="000000" w:themeColor="text1"/>
          <w:kern w:val="0"/>
          <w:sz w:val="20"/>
          <w:szCs w:val="20"/>
          <w:lang w:val="en-US" w:eastAsia="zh-CN" w:bidi="ar-SA"/>
          <w14:textFill>
            <w14:solidFill>
              <w14:schemeClr w14:val="tx1"/>
            </w14:solidFill>
          </w14:textFill>
        </w:rPr>
        <w:t>2.陕西省无线电管理和发展“十五五”规划编制</w:t>
      </w:r>
    </w:p>
    <w:p w14:paraId="04847F60">
      <w:pPr>
        <w:pStyle w:val="2"/>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themeColor="text1"/>
          <w:kern w:val="0"/>
          <w:sz w:val="20"/>
          <w:szCs w:val="20"/>
          <w:lang w:val="en-US" w:eastAsia="zh-CN" w:bidi="ar-SA"/>
          <w14:textFill>
            <w14:solidFill>
              <w14:schemeClr w14:val="tx1"/>
            </w14:solidFill>
          </w14:textFill>
        </w:rPr>
      </w:pPr>
      <w:r>
        <w:rPr>
          <w:rFonts w:hint="eastAsia" w:ascii="仿宋" w:hAnsi="仿宋" w:eastAsia="仿宋" w:cs="仿宋"/>
          <w:color w:val="000000" w:themeColor="text1"/>
          <w:kern w:val="0"/>
          <w:sz w:val="20"/>
          <w:szCs w:val="20"/>
          <w:lang w:val="en-US" w:eastAsia="zh-CN" w:bidi="ar-SA"/>
          <w14:textFill>
            <w14:solidFill>
              <w14:schemeClr w14:val="tx1"/>
            </w14:solidFill>
          </w14:textFill>
        </w:rPr>
        <w:t>根据国家无线电频谱中长期规划，结合国家无线电管理和发展“十五五”规划工作要求，联系陕西省无线电管理工作实际，采取实地调研、专家论证等方式进行深入研究，全面分析“十五五”面临形势、主要目标、主要任务和保障措施等内容，编制《陕西省无线电管理和发展“十五五”规划》，更好助力陕西省经济社会发展。</w:t>
      </w:r>
    </w:p>
    <w:p w14:paraId="275C893E">
      <w:pPr>
        <w:pStyle w:val="2"/>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themeColor="text1"/>
          <w:kern w:val="0"/>
          <w:sz w:val="20"/>
          <w:szCs w:val="20"/>
          <w:lang w:val="en-US" w:eastAsia="zh-CN" w:bidi="ar-SA"/>
          <w14:textFill>
            <w14:solidFill>
              <w14:schemeClr w14:val="tx1"/>
            </w14:solidFill>
          </w14:textFill>
        </w:rPr>
      </w:pPr>
      <w:r>
        <w:rPr>
          <w:rFonts w:hint="eastAsia" w:ascii="仿宋" w:hAnsi="仿宋" w:eastAsia="仿宋" w:cs="仿宋"/>
          <w:color w:val="000000" w:themeColor="text1"/>
          <w:kern w:val="0"/>
          <w:sz w:val="20"/>
          <w:szCs w:val="20"/>
          <w:lang w:val="en-US" w:eastAsia="zh-CN" w:bidi="ar-SA"/>
          <w14:textFill>
            <w14:solidFill>
              <w14:schemeClr w14:val="tx1"/>
            </w14:solidFill>
          </w14:textFill>
        </w:rPr>
        <w:t>（二）工作成果</w:t>
      </w:r>
    </w:p>
    <w:p w14:paraId="5BEC71F5">
      <w:pPr>
        <w:pStyle w:val="2"/>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themeColor="text1"/>
          <w:kern w:val="0"/>
          <w:sz w:val="20"/>
          <w:szCs w:val="20"/>
          <w:lang w:val="en-US" w:eastAsia="zh-CN" w:bidi="ar-SA"/>
          <w14:textFill>
            <w14:solidFill>
              <w14:schemeClr w14:val="tx1"/>
            </w14:solidFill>
          </w14:textFill>
        </w:rPr>
      </w:pPr>
      <w:r>
        <w:rPr>
          <w:rFonts w:hint="eastAsia" w:ascii="仿宋" w:hAnsi="仿宋" w:eastAsia="仿宋" w:cs="仿宋"/>
          <w:color w:val="000000" w:themeColor="text1"/>
          <w:kern w:val="0"/>
          <w:sz w:val="20"/>
          <w:szCs w:val="20"/>
          <w:lang w:val="en-US" w:eastAsia="zh-CN" w:bidi="ar-SA"/>
          <w14:textFill>
            <w14:solidFill>
              <w14:schemeClr w14:val="tx1"/>
            </w14:solidFill>
          </w14:textFill>
        </w:rPr>
        <w:t>通过深入调研、科学分析和广泛征求意见，编制完成《〈“十四五”陕西省无线电管理和发展规划〉终期评估报告》《陕西省无线电管理和发展“十五五”规划》。</w:t>
      </w:r>
    </w:p>
    <w:p w14:paraId="1E470787">
      <w:pPr>
        <w:pStyle w:val="2"/>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themeColor="text1"/>
          <w:kern w:val="0"/>
          <w:sz w:val="20"/>
          <w:szCs w:val="20"/>
          <w:lang w:val="en-US" w:eastAsia="zh-CN" w:bidi="ar-SA"/>
          <w14:textFill>
            <w14:solidFill>
              <w14:schemeClr w14:val="tx1"/>
            </w14:solidFill>
          </w14:textFill>
        </w:rPr>
      </w:pPr>
      <w:r>
        <w:rPr>
          <w:rFonts w:hint="eastAsia" w:ascii="仿宋" w:hAnsi="仿宋" w:eastAsia="仿宋" w:cs="仿宋"/>
          <w:color w:val="000000" w:themeColor="text1"/>
          <w:kern w:val="0"/>
          <w:sz w:val="20"/>
          <w:szCs w:val="20"/>
          <w:lang w:val="en-US" w:eastAsia="zh-CN" w:bidi="ar-SA"/>
          <w14:textFill>
            <w14:solidFill>
              <w14:schemeClr w14:val="tx1"/>
            </w14:solidFill>
          </w14:textFill>
        </w:rPr>
        <w:t>（三）服务要求</w:t>
      </w:r>
    </w:p>
    <w:p w14:paraId="7F6CDEF2">
      <w:pPr>
        <w:pStyle w:val="2"/>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themeColor="text1"/>
          <w:kern w:val="0"/>
          <w:sz w:val="20"/>
          <w:szCs w:val="20"/>
          <w:lang w:val="en-US" w:eastAsia="zh-CN" w:bidi="ar-SA"/>
          <w14:textFill>
            <w14:solidFill>
              <w14:schemeClr w14:val="tx1"/>
            </w14:solidFill>
          </w14:textFill>
        </w:rPr>
      </w:pPr>
      <w:r>
        <w:rPr>
          <w:rFonts w:hint="eastAsia" w:ascii="仿宋" w:hAnsi="仿宋" w:eastAsia="仿宋" w:cs="仿宋"/>
          <w:color w:val="000000" w:themeColor="text1"/>
          <w:kern w:val="0"/>
          <w:sz w:val="20"/>
          <w:szCs w:val="20"/>
          <w:lang w:val="en-US" w:eastAsia="zh-CN" w:bidi="ar-SA"/>
          <w14:textFill>
            <w14:solidFill>
              <w14:schemeClr w14:val="tx1"/>
            </w14:solidFill>
          </w14:textFill>
        </w:rPr>
        <w:t>1.成果交付要求</w:t>
      </w:r>
    </w:p>
    <w:p w14:paraId="18CB8245">
      <w:pPr>
        <w:pStyle w:val="2"/>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themeColor="text1"/>
          <w:kern w:val="0"/>
          <w:sz w:val="20"/>
          <w:szCs w:val="20"/>
          <w:lang w:val="en-US" w:eastAsia="zh-CN" w:bidi="ar-SA"/>
          <w14:textFill>
            <w14:solidFill>
              <w14:schemeClr w14:val="tx1"/>
            </w14:solidFill>
          </w14:textFill>
        </w:rPr>
      </w:pPr>
      <w:r>
        <w:rPr>
          <w:rFonts w:hint="eastAsia" w:ascii="仿宋" w:hAnsi="仿宋" w:eastAsia="仿宋" w:cs="仿宋"/>
          <w:color w:val="000000" w:themeColor="text1"/>
          <w:kern w:val="0"/>
          <w:sz w:val="20"/>
          <w:szCs w:val="20"/>
          <w:lang w:val="en-US" w:eastAsia="zh-CN" w:bidi="ar-SA"/>
          <w14:textFill>
            <w14:solidFill>
              <w14:schemeClr w14:val="tx1"/>
            </w14:solidFill>
          </w14:textFill>
        </w:rPr>
        <w:t>成交供应商应通过专家评审方式对工作成果进行验收，以确保项目完成质量。评审费由成交供应商承担。</w:t>
      </w:r>
    </w:p>
    <w:p w14:paraId="75558F28">
      <w:pPr>
        <w:pStyle w:val="2"/>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themeColor="text1"/>
          <w:kern w:val="0"/>
          <w:sz w:val="20"/>
          <w:szCs w:val="20"/>
          <w:lang w:val="en-US" w:eastAsia="zh-CN" w:bidi="ar-SA"/>
          <w14:textFill>
            <w14:solidFill>
              <w14:schemeClr w14:val="tx1"/>
            </w14:solidFill>
          </w14:textFill>
        </w:rPr>
      </w:pPr>
      <w:r>
        <w:rPr>
          <w:rFonts w:hint="eastAsia" w:ascii="仿宋" w:hAnsi="仿宋" w:eastAsia="仿宋" w:cs="仿宋"/>
          <w:color w:val="000000" w:themeColor="text1"/>
          <w:kern w:val="0"/>
          <w:sz w:val="20"/>
          <w:szCs w:val="20"/>
          <w:lang w:val="en-US" w:eastAsia="zh-CN" w:bidi="ar-SA"/>
          <w14:textFill>
            <w14:solidFill>
              <w14:schemeClr w14:val="tx1"/>
            </w14:solidFill>
          </w14:textFill>
        </w:rPr>
        <w:t>2.项目完成时间</w:t>
      </w:r>
    </w:p>
    <w:p w14:paraId="41A03961">
      <w:pPr>
        <w:pStyle w:val="2"/>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themeColor="text1"/>
          <w:kern w:val="0"/>
          <w:sz w:val="20"/>
          <w:szCs w:val="20"/>
          <w:lang w:val="en-US" w:eastAsia="zh-CN" w:bidi="ar-SA"/>
          <w14:textFill>
            <w14:solidFill>
              <w14:schemeClr w14:val="tx1"/>
            </w14:solidFill>
          </w14:textFill>
        </w:rPr>
      </w:pPr>
      <w:r>
        <w:rPr>
          <w:rFonts w:hint="eastAsia" w:ascii="仿宋" w:hAnsi="仿宋" w:eastAsia="仿宋" w:cs="仿宋"/>
          <w:color w:val="000000" w:themeColor="text1"/>
          <w:kern w:val="0"/>
          <w:sz w:val="20"/>
          <w:szCs w:val="20"/>
          <w:lang w:val="en-US" w:eastAsia="zh-CN" w:bidi="ar-SA"/>
          <w14:textFill>
            <w14:solidFill>
              <w14:schemeClr w14:val="tx1"/>
            </w14:solidFill>
          </w14:textFill>
        </w:rPr>
        <w:t>成交供应商应在合同签订后十二个月内提交项目成果，并配合甲方开展后续项目验收工作，具体验收时间由甲方安排。</w:t>
      </w:r>
    </w:p>
    <w:p w14:paraId="2D6D8818">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仿宋" w:hAnsi="仿宋" w:eastAsia="仿宋" w:cs="仿宋"/>
          <w:b/>
          <w:color w:val="000000" w:themeColor="text1"/>
          <w:sz w:val="20"/>
          <w:szCs w:val="20"/>
          <w14:textFill>
            <w14:solidFill>
              <w14:schemeClr w14:val="tx1"/>
            </w14:solidFill>
          </w14:textFill>
        </w:rPr>
      </w:pPr>
      <w:r>
        <w:rPr>
          <w:rFonts w:hint="eastAsia" w:ascii="仿宋" w:hAnsi="仿宋" w:eastAsia="仿宋" w:cs="仿宋"/>
          <w:b/>
          <w:color w:val="000000" w:themeColor="text1"/>
          <w:sz w:val="20"/>
          <w:szCs w:val="20"/>
          <w:lang w:val="en-US" w:eastAsia="zh-CN"/>
          <w14:textFill>
            <w14:solidFill>
              <w14:schemeClr w14:val="tx1"/>
            </w14:solidFill>
          </w14:textFill>
        </w:rPr>
        <w:t>四</w:t>
      </w:r>
      <w:r>
        <w:rPr>
          <w:rFonts w:hint="eastAsia" w:ascii="仿宋" w:hAnsi="仿宋" w:eastAsia="仿宋" w:cs="仿宋"/>
          <w:b/>
          <w:color w:val="000000" w:themeColor="text1"/>
          <w:sz w:val="20"/>
          <w:szCs w:val="20"/>
          <w14:textFill>
            <w14:solidFill>
              <w14:schemeClr w14:val="tx1"/>
            </w14:solidFill>
          </w14:textFill>
        </w:rPr>
        <w:t>、合同价款</w:t>
      </w:r>
    </w:p>
    <w:p w14:paraId="0B7BA043">
      <w:pPr>
        <w:keepNext w:val="0"/>
        <w:keepLines w:val="0"/>
        <w:pageBreakBefore w:val="0"/>
        <w:widowControl w:val="0"/>
        <w:kinsoku/>
        <w:wordWrap/>
        <w:overflowPunct/>
        <w:topLinePunct w:val="0"/>
        <w:autoSpaceDE/>
        <w:autoSpaceDN/>
        <w:bidi w:val="0"/>
        <w:adjustRightInd/>
        <w:snapToGrid/>
        <w:spacing w:line="360" w:lineRule="auto"/>
        <w:ind w:firstLine="396" w:firstLineChars="198"/>
        <w:jc w:val="left"/>
        <w:textAlignment w:val="auto"/>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1.本合同为固定总价合同。</w:t>
      </w:r>
    </w:p>
    <w:p w14:paraId="1F9EFB44">
      <w:pPr>
        <w:keepNext w:val="0"/>
        <w:keepLines w:val="0"/>
        <w:pageBreakBefore w:val="0"/>
        <w:widowControl w:val="0"/>
        <w:kinsoku/>
        <w:wordWrap/>
        <w:overflowPunct/>
        <w:topLinePunct w:val="0"/>
        <w:autoSpaceDE/>
        <w:autoSpaceDN/>
        <w:bidi w:val="0"/>
        <w:adjustRightInd/>
        <w:snapToGrid/>
        <w:spacing w:line="360" w:lineRule="auto"/>
        <w:ind w:firstLine="396" w:firstLineChars="198"/>
        <w:jc w:val="left"/>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lang w:val="en-US" w:eastAsia="zh-CN"/>
        </w:rPr>
        <w:t>2</w:t>
      </w:r>
      <w:r>
        <w:rPr>
          <w:rFonts w:hint="eastAsia" w:ascii="仿宋" w:hAnsi="仿宋" w:eastAsia="仿宋" w:cs="仿宋"/>
          <w:color w:val="000000"/>
          <w:sz w:val="20"/>
          <w:szCs w:val="20"/>
        </w:rPr>
        <w:t>.合同金额（大写）：</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u w:val="single"/>
          <w:lang w:val="en-US" w:eastAsia="zh-CN"/>
        </w:rPr>
        <w:t xml:space="preserve">     </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u w:val="single"/>
          <w:lang w:val="en-US" w:eastAsia="zh-CN"/>
        </w:rPr>
        <w:t xml:space="preserve"> </w:t>
      </w:r>
      <w:r>
        <w:rPr>
          <w:rFonts w:hint="eastAsia" w:ascii="仿宋" w:hAnsi="仿宋" w:eastAsia="仿宋" w:cs="仿宋"/>
          <w:color w:val="000000"/>
          <w:sz w:val="20"/>
          <w:szCs w:val="20"/>
        </w:rPr>
        <w:t xml:space="preserve">（¥ </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u w:val="single"/>
          <w:lang w:val="en-US" w:eastAsia="zh-CN"/>
        </w:rPr>
        <w:t xml:space="preserve">   </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元）。</w:t>
      </w:r>
    </w:p>
    <w:p w14:paraId="6CAC1C70">
      <w:pPr>
        <w:keepNext w:val="0"/>
        <w:keepLines w:val="0"/>
        <w:pageBreakBefore w:val="0"/>
        <w:widowControl w:val="0"/>
        <w:kinsoku/>
        <w:wordWrap/>
        <w:overflowPunct/>
        <w:topLinePunct w:val="0"/>
        <w:autoSpaceDE/>
        <w:autoSpaceDN/>
        <w:bidi w:val="0"/>
        <w:adjustRightInd/>
        <w:snapToGrid/>
        <w:spacing w:line="360" w:lineRule="auto"/>
        <w:ind w:firstLine="396" w:firstLineChars="198"/>
        <w:textAlignment w:val="auto"/>
        <w:outlineLvl w:val="9"/>
        <w:rPr>
          <w:rFonts w:hint="eastAsia" w:ascii="仿宋" w:hAnsi="仿宋" w:eastAsia="仿宋" w:cs="仿宋"/>
          <w:color w:val="000000"/>
          <w:sz w:val="20"/>
          <w:szCs w:val="20"/>
        </w:rPr>
      </w:pPr>
      <w:r>
        <w:rPr>
          <w:rFonts w:hint="eastAsia" w:ascii="仿宋" w:hAnsi="仿宋" w:eastAsia="仿宋" w:cs="仿宋"/>
          <w:color w:val="000000"/>
          <w:sz w:val="20"/>
          <w:szCs w:val="20"/>
          <w:lang w:val="en-US" w:eastAsia="zh-CN"/>
        </w:rPr>
        <w:t>3</w:t>
      </w:r>
      <w:r>
        <w:rPr>
          <w:rFonts w:hint="eastAsia" w:ascii="仿宋" w:hAnsi="仿宋" w:eastAsia="仿宋" w:cs="仿宋"/>
          <w:color w:val="000000"/>
          <w:sz w:val="20"/>
          <w:szCs w:val="20"/>
        </w:rPr>
        <w:t>.合同总价即成交价，不受市场价变化或实际工作量变化的影响。</w:t>
      </w:r>
    </w:p>
    <w:p w14:paraId="19B68DFC">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仿宋" w:hAnsi="仿宋" w:eastAsia="仿宋" w:cs="仿宋"/>
          <w:b/>
          <w:sz w:val="20"/>
          <w:szCs w:val="20"/>
          <w:lang w:eastAsia="zh-CN"/>
        </w:rPr>
      </w:pPr>
      <w:r>
        <w:rPr>
          <w:rFonts w:hint="eastAsia" w:ascii="仿宋" w:hAnsi="仿宋" w:eastAsia="仿宋" w:cs="仿宋"/>
          <w:b/>
          <w:color w:val="000000"/>
          <w:sz w:val="20"/>
          <w:szCs w:val="20"/>
          <w:lang w:val="en-US" w:eastAsia="zh-CN"/>
        </w:rPr>
        <w:t>五</w:t>
      </w:r>
      <w:r>
        <w:rPr>
          <w:rFonts w:hint="eastAsia" w:ascii="仿宋" w:hAnsi="仿宋" w:eastAsia="仿宋" w:cs="仿宋"/>
          <w:b/>
          <w:sz w:val="20"/>
          <w:szCs w:val="20"/>
        </w:rPr>
        <w:t>、项目实施地点：</w:t>
      </w:r>
      <w:r>
        <w:rPr>
          <w:rFonts w:hint="eastAsia" w:ascii="仿宋" w:hAnsi="仿宋" w:eastAsia="仿宋" w:cs="仿宋"/>
          <w:bCs/>
          <w:sz w:val="20"/>
          <w:szCs w:val="20"/>
          <w:lang w:val="en-US" w:eastAsia="zh-CN"/>
        </w:rPr>
        <w:t>甲方</w:t>
      </w:r>
      <w:r>
        <w:rPr>
          <w:rFonts w:hint="eastAsia" w:ascii="仿宋" w:hAnsi="仿宋" w:eastAsia="仿宋" w:cs="仿宋"/>
          <w:bCs/>
          <w:sz w:val="20"/>
          <w:szCs w:val="20"/>
        </w:rPr>
        <w:t>指定地点</w:t>
      </w:r>
      <w:r>
        <w:rPr>
          <w:rFonts w:hint="eastAsia" w:ascii="仿宋" w:hAnsi="仿宋" w:eastAsia="仿宋" w:cs="仿宋"/>
          <w:bCs/>
          <w:sz w:val="20"/>
          <w:szCs w:val="20"/>
          <w:lang w:eastAsia="zh-CN"/>
        </w:rPr>
        <w:t>。</w:t>
      </w:r>
    </w:p>
    <w:p w14:paraId="2B2FFC9C">
      <w:pPr>
        <w:keepNext w:val="0"/>
        <w:keepLines w:val="0"/>
        <w:pageBreakBefore w:val="0"/>
        <w:widowControl w:val="0"/>
        <w:kinsoku/>
        <w:wordWrap/>
        <w:overflowPunct/>
        <w:topLinePunct w:val="0"/>
        <w:autoSpaceDE/>
        <w:autoSpaceDN/>
        <w:bidi w:val="0"/>
        <w:adjustRightInd/>
        <w:snapToGrid/>
        <w:spacing w:line="360" w:lineRule="auto"/>
        <w:ind w:left="482" w:hanging="402" w:hangingChars="200"/>
        <w:textAlignment w:val="auto"/>
        <w:outlineLvl w:val="0"/>
        <w:rPr>
          <w:rFonts w:hint="eastAsia" w:ascii="仿宋" w:hAnsi="仿宋" w:eastAsia="仿宋" w:cs="仿宋"/>
          <w:b/>
          <w:sz w:val="20"/>
          <w:szCs w:val="20"/>
          <w:lang w:val="en-US" w:eastAsia="zh-CN"/>
        </w:rPr>
      </w:pPr>
      <w:r>
        <w:rPr>
          <w:rFonts w:hint="eastAsia" w:ascii="仿宋" w:hAnsi="仿宋" w:eastAsia="仿宋" w:cs="仿宋"/>
          <w:b/>
          <w:sz w:val="20"/>
          <w:szCs w:val="20"/>
          <w:lang w:val="en-US" w:eastAsia="zh-CN"/>
        </w:rPr>
        <w:t>六</w:t>
      </w:r>
      <w:r>
        <w:rPr>
          <w:rFonts w:hint="eastAsia" w:ascii="仿宋" w:hAnsi="仿宋" w:eastAsia="仿宋" w:cs="仿宋"/>
          <w:b/>
          <w:sz w:val="20"/>
          <w:szCs w:val="20"/>
        </w:rPr>
        <w:t>、</w:t>
      </w:r>
      <w:r>
        <w:rPr>
          <w:rFonts w:hint="eastAsia" w:ascii="仿宋" w:hAnsi="仿宋" w:eastAsia="仿宋" w:cs="仿宋"/>
          <w:b/>
          <w:sz w:val="20"/>
          <w:szCs w:val="20"/>
          <w:lang w:val="en-US" w:eastAsia="zh-CN"/>
        </w:rPr>
        <w:t>支付方式：</w:t>
      </w:r>
    </w:p>
    <w:p w14:paraId="608DD63A">
      <w:pPr>
        <w:keepNext w:val="0"/>
        <w:keepLines w:val="0"/>
        <w:pageBreakBefore w:val="0"/>
        <w:widowControl w:val="0"/>
        <w:kinsoku/>
        <w:wordWrap/>
        <w:overflowPunct/>
        <w:topLinePunct w:val="0"/>
        <w:autoSpaceDE/>
        <w:autoSpaceDN/>
        <w:bidi w:val="0"/>
        <w:adjustRightInd/>
        <w:snapToGrid/>
        <w:spacing w:line="360" w:lineRule="auto"/>
        <w:ind w:left="0" w:firstLine="400" w:firstLineChars="200"/>
        <w:textAlignment w:val="auto"/>
        <w:rPr>
          <w:rFonts w:hint="eastAsia"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lang w:val="en-US" w:eastAsia="zh-CN" w:bidi="ar-SA"/>
        </w:rPr>
        <w:t>（一）付款方式</w:t>
      </w:r>
    </w:p>
    <w:p w14:paraId="29ADF95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 xml:space="preserve">1）合同签订后十个工作日内，成交供应商向采购人出具的银行保函（保函金额合同签署前由采购人确定，保函有效期截止时间为本项目验收合格后满六个月）； </w:t>
      </w:r>
    </w:p>
    <w:p w14:paraId="4287C3A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 xml:space="preserve">（2）采购人收到成交供应商合格银行保函后支付全部合同总价款； </w:t>
      </w:r>
    </w:p>
    <w:p w14:paraId="533AD36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 xml:space="preserve">（3）成交供应商承诺在采购人办理支付手续前，为采购人出具等额的符合国家规定的发票； </w:t>
      </w:r>
    </w:p>
    <w:p w14:paraId="3A60E05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（4)上述时间不包括采购人正常办理支付报批手续的时间。</w:t>
      </w:r>
    </w:p>
    <w:p w14:paraId="749B759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lang w:val="en-US" w:eastAsia="zh-CN" w:bidi="ar-SA"/>
        </w:rPr>
        <w:t>（二）付款形式：银行转账</w:t>
      </w:r>
    </w:p>
    <w:p w14:paraId="480ED47B">
      <w:pPr>
        <w:keepNext w:val="0"/>
        <w:keepLines w:val="0"/>
        <w:pageBreakBefore w:val="0"/>
        <w:widowControl w:val="0"/>
        <w:kinsoku/>
        <w:wordWrap/>
        <w:overflowPunct/>
        <w:topLinePunct w:val="0"/>
        <w:autoSpaceDE/>
        <w:autoSpaceDN/>
        <w:bidi w:val="0"/>
        <w:adjustRightInd/>
        <w:snapToGrid/>
        <w:spacing w:line="360" w:lineRule="auto"/>
        <w:ind w:left="0" w:firstLine="400" w:firstLineChars="200"/>
        <w:textAlignment w:val="auto"/>
        <w:rPr>
          <w:rFonts w:hint="eastAsia"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lang w:val="en-US" w:eastAsia="zh-CN" w:bidi="ar-SA"/>
        </w:rPr>
        <w:t>（三）乙方指定收款信息</w:t>
      </w:r>
    </w:p>
    <w:p w14:paraId="3FDC140A">
      <w:pPr>
        <w:keepNext w:val="0"/>
        <w:keepLines w:val="0"/>
        <w:pageBreakBefore w:val="0"/>
        <w:widowControl w:val="0"/>
        <w:kinsoku/>
        <w:wordWrap/>
        <w:overflowPunct/>
        <w:topLinePunct w:val="0"/>
        <w:autoSpaceDE/>
        <w:autoSpaceDN/>
        <w:bidi w:val="0"/>
        <w:adjustRightInd/>
        <w:snapToGrid/>
        <w:spacing w:line="360" w:lineRule="auto"/>
        <w:ind w:left="0" w:firstLine="400" w:firstLineChars="200"/>
        <w:textAlignment w:val="auto"/>
        <w:rPr>
          <w:rFonts w:hint="eastAsia"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lang w:val="en-US" w:eastAsia="zh-CN" w:bidi="ar-SA"/>
        </w:rPr>
        <w:t xml:space="preserve">1.名称： </w:t>
      </w:r>
    </w:p>
    <w:p w14:paraId="51A314E7">
      <w:pPr>
        <w:keepNext w:val="0"/>
        <w:keepLines w:val="0"/>
        <w:pageBreakBefore w:val="0"/>
        <w:widowControl w:val="0"/>
        <w:kinsoku/>
        <w:wordWrap/>
        <w:overflowPunct/>
        <w:topLinePunct w:val="0"/>
        <w:autoSpaceDE/>
        <w:autoSpaceDN/>
        <w:bidi w:val="0"/>
        <w:adjustRightInd/>
        <w:snapToGrid/>
        <w:spacing w:line="360" w:lineRule="auto"/>
        <w:ind w:left="0" w:firstLine="400" w:firstLineChars="200"/>
        <w:textAlignment w:val="auto"/>
        <w:rPr>
          <w:rFonts w:hint="eastAsia"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lang w:val="en-US" w:eastAsia="zh-CN" w:bidi="ar-SA"/>
        </w:rPr>
        <w:t xml:space="preserve">2.纳税人识别号： </w:t>
      </w:r>
    </w:p>
    <w:p w14:paraId="1B19E132">
      <w:pPr>
        <w:keepNext w:val="0"/>
        <w:keepLines w:val="0"/>
        <w:pageBreakBefore w:val="0"/>
        <w:widowControl w:val="0"/>
        <w:kinsoku/>
        <w:wordWrap/>
        <w:overflowPunct/>
        <w:topLinePunct w:val="0"/>
        <w:autoSpaceDE/>
        <w:autoSpaceDN/>
        <w:bidi w:val="0"/>
        <w:adjustRightInd/>
        <w:snapToGrid/>
        <w:spacing w:line="360" w:lineRule="auto"/>
        <w:ind w:left="0" w:firstLine="400" w:firstLineChars="200"/>
        <w:textAlignment w:val="auto"/>
        <w:rPr>
          <w:rFonts w:hint="eastAsia"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lang w:val="en-US" w:eastAsia="zh-CN" w:bidi="ar-SA"/>
        </w:rPr>
        <w:t xml:space="preserve">3.地址：   </w:t>
      </w:r>
    </w:p>
    <w:p w14:paraId="768CB19F">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0"/>
          <w:szCs w:val="20"/>
          <w:lang w:val="en-US" w:eastAsia="zh-CN"/>
        </w:rPr>
      </w:pPr>
      <w:r>
        <w:rPr>
          <w:rFonts w:hint="eastAsia" w:ascii="仿宋" w:hAnsi="仿宋" w:eastAsia="仿宋" w:cs="仿宋"/>
          <w:color w:val="000000"/>
          <w:kern w:val="0"/>
          <w:sz w:val="20"/>
          <w:szCs w:val="20"/>
          <w:lang w:val="en-US" w:eastAsia="zh-CN" w:bidi="ar-SA"/>
        </w:rPr>
        <w:t xml:space="preserve">4.电话：  </w:t>
      </w:r>
    </w:p>
    <w:p w14:paraId="101479CC">
      <w:pPr>
        <w:keepNext w:val="0"/>
        <w:keepLines w:val="0"/>
        <w:pageBreakBefore w:val="0"/>
        <w:widowControl w:val="0"/>
        <w:kinsoku/>
        <w:wordWrap/>
        <w:overflowPunct/>
        <w:topLinePunct w:val="0"/>
        <w:autoSpaceDE/>
        <w:autoSpaceDN/>
        <w:bidi w:val="0"/>
        <w:adjustRightInd/>
        <w:snapToGrid/>
        <w:spacing w:line="360" w:lineRule="auto"/>
        <w:ind w:left="0" w:firstLine="400" w:firstLineChars="200"/>
        <w:textAlignment w:val="auto"/>
        <w:rPr>
          <w:rFonts w:hint="eastAsia"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lang w:val="en-US" w:eastAsia="zh-CN" w:bidi="ar-SA"/>
        </w:rPr>
        <w:t xml:space="preserve">5.开户行： </w:t>
      </w:r>
    </w:p>
    <w:p w14:paraId="4D404D59">
      <w:pPr>
        <w:keepNext w:val="0"/>
        <w:keepLines w:val="0"/>
        <w:pageBreakBefore w:val="0"/>
        <w:widowControl w:val="0"/>
        <w:kinsoku/>
        <w:wordWrap/>
        <w:overflowPunct/>
        <w:topLinePunct w:val="0"/>
        <w:autoSpaceDE/>
        <w:autoSpaceDN/>
        <w:bidi w:val="0"/>
        <w:adjustRightInd/>
        <w:snapToGrid/>
        <w:spacing w:line="360" w:lineRule="auto"/>
        <w:ind w:left="0" w:firstLine="400" w:firstLineChars="200"/>
        <w:textAlignment w:val="auto"/>
        <w:rPr>
          <w:rFonts w:hint="eastAsia"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lang w:val="en-US" w:eastAsia="zh-CN" w:bidi="ar-SA"/>
        </w:rPr>
        <w:t xml:space="preserve">6.银行账号： </w:t>
      </w:r>
    </w:p>
    <w:p w14:paraId="184D2856">
      <w:pPr>
        <w:keepNext w:val="0"/>
        <w:keepLines w:val="0"/>
        <w:pageBreakBefore w:val="0"/>
        <w:widowControl w:val="0"/>
        <w:kinsoku/>
        <w:wordWrap/>
        <w:overflowPunct/>
        <w:topLinePunct w:val="0"/>
        <w:autoSpaceDE/>
        <w:autoSpaceDN/>
        <w:bidi w:val="0"/>
        <w:adjustRightInd/>
        <w:snapToGrid/>
        <w:spacing w:line="360" w:lineRule="auto"/>
        <w:ind w:left="0" w:firstLine="400" w:firstLineChars="200"/>
        <w:textAlignment w:val="auto"/>
        <w:rPr>
          <w:rFonts w:hint="eastAsia"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lang w:val="en-US" w:eastAsia="zh-CN" w:bidi="ar-SA"/>
        </w:rPr>
        <w:t>乙方保证其在本合同中提供的账户信息真实、准确、合法、有效。乙方变更上述账户信息的，应当至少提前10个工作日书面告知甲方，由于乙方原因造成甲方付款延迟或不能支付的，甲方不承担逾期付款责任，由乙方自己承担全部责任。</w:t>
      </w:r>
    </w:p>
    <w:p w14:paraId="22441E14">
      <w:pPr>
        <w:keepNext w:val="0"/>
        <w:keepLines w:val="0"/>
        <w:pageBreakBefore w:val="0"/>
        <w:wordWrap/>
        <w:overflowPunct/>
        <w:topLinePunct w:val="0"/>
        <w:bidi w:val="0"/>
        <w:adjustRightInd w:val="0"/>
        <w:snapToGrid w:val="0"/>
        <w:spacing w:line="360" w:lineRule="auto"/>
        <w:ind w:firstLine="396" w:firstLineChars="198"/>
        <w:textAlignment w:val="auto"/>
        <w:rPr>
          <w:rFonts w:hint="eastAsia" w:ascii="仿宋" w:hAnsi="仿宋" w:eastAsia="仿宋" w:cs="仿宋"/>
          <w:sz w:val="20"/>
          <w:szCs w:val="20"/>
          <w:lang w:val="en-US" w:eastAsia="zh-CN"/>
        </w:rPr>
      </w:pPr>
      <w:r>
        <w:rPr>
          <w:rFonts w:hint="eastAsia" w:ascii="仿宋" w:hAnsi="仿宋" w:eastAsia="仿宋" w:cs="仿宋"/>
          <w:color w:val="000000"/>
          <w:kern w:val="0"/>
          <w:sz w:val="20"/>
          <w:szCs w:val="20"/>
          <w:lang w:val="en-US" w:eastAsia="zh-CN" w:bidi="ar-SA"/>
        </w:rPr>
        <w:t>（四）甲方每次付款前，乙方须提供符合甲方财务部门要求的等额增值税（专用/普通）发票。否则，甲方有权延迟支付服务费用，且甲方延迟支付行为不应视为违约。</w:t>
      </w:r>
    </w:p>
    <w:p w14:paraId="4C58954C">
      <w:pPr>
        <w:keepNext w:val="0"/>
        <w:keepLines w:val="0"/>
        <w:pageBreakBefore w:val="0"/>
        <w:widowControl w:val="0"/>
        <w:numPr>
          <w:ilvl w:val="0"/>
          <w:numId w:val="0"/>
        </w:numPr>
        <w:wordWrap/>
        <w:overflowPunct/>
        <w:topLinePunct w:val="0"/>
        <w:autoSpaceDE/>
        <w:autoSpaceDN/>
        <w:bidi w:val="0"/>
        <w:adjustRightInd/>
        <w:snapToGrid/>
        <w:spacing w:line="360" w:lineRule="auto"/>
        <w:textAlignment w:val="auto"/>
        <w:outlineLvl w:val="0"/>
        <w:rPr>
          <w:rFonts w:hint="eastAsia" w:ascii="仿宋" w:hAnsi="仿宋" w:eastAsia="仿宋" w:cs="仿宋"/>
          <w:b/>
          <w:color w:val="000000"/>
          <w:sz w:val="20"/>
          <w:szCs w:val="20"/>
        </w:rPr>
      </w:pPr>
      <w:r>
        <w:rPr>
          <w:rFonts w:hint="eastAsia" w:ascii="仿宋" w:hAnsi="仿宋" w:eastAsia="仿宋" w:cs="仿宋"/>
          <w:b/>
          <w:color w:val="000000"/>
          <w:kern w:val="0"/>
          <w:sz w:val="20"/>
          <w:szCs w:val="20"/>
          <w:lang w:val="en-US" w:eastAsia="zh-CN" w:bidi="ar-SA"/>
        </w:rPr>
        <w:t>七、</w:t>
      </w:r>
      <w:r>
        <w:rPr>
          <w:rFonts w:hint="eastAsia" w:ascii="仿宋" w:hAnsi="仿宋" w:eastAsia="仿宋" w:cs="仿宋"/>
          <w:b/>
          <w:color w:val="000000"/>
          <w:sz w:val="20"/>
          <w:szCs w:val="20"/>
        </w:rPr>
        <w:t>质量保证：</w:t>
      </w:r>
    </w:p>
    <w:p w14:paraId="4E5414C6">
      <w:pPr>
        <w:keepNext w:val="0"/>
        <w:keepLines w:val="0"/>
        <w:pageBreakBefore w:val="0"/>
        <w:widowControl w:val="0"/>
        <w:wordWrap/>
        <w:overflowPunct/>
        <w:topLinePunct w:val="0"/>
        <w:autoSpaceDE/>
        <w:autoSpaceDN/>
        <w:bidi w:val="0"/>
        <w:adjustRightInd/>
        <w:snapToGrid/>
        <w:spacing w:line="36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1.在服务范围内按工作内容和要求制定详细的方案，方案应科学、合理、合法、可靠。</w:t>
      </w:r>
    </w:p>
    <w:p w14:paraId="0ECEC62A">
      <w:pPr>
        <w:keepNext w:val="0"/>
        <w:keepLines w:val="0"/>
        <w:pageBreakBefore w:val="0"/>
        <w:widowControl w:val="0"/>
        <w:wordWrap/>
        <w:overflowPunct/>
        <w:topLinePunct w:val="0"/>
        <w:autoSpaceDE/>
        <w:autoSpaceDN/>
        <w:bidi w:val="0"/>
        <w:adjustRightInd/>
        <w:snapToGrid/>
        <w:spacing w:line="360" w:lineRule="auto"/>
        <w:ind w:firstLine="400" w:firstLineChars="200"/>
        <w:textAlignment w:val="auto"/>
        <w:rPr>
          <w:rFonts w:hint="eastAsia" w:ascii="仿宋" w:hAnsi="仿宋" w:eastAsia="仿宋" w:cs="仿宋"/>
          <w:sz w:val="20"/>
          <w:szCs w:val="20"/>
          <w:lang w:eastAsia="zh-CN"/>
        </w:rPr>
      </w:pPr>
      <w:r>
        <w:rPr>
          <w:rFonts w:hint="eastAsia" w:ascii="仿宋" w:hAnsi="仿宋" w:eastAsia="仿宋" w:cs="仿宋"/>
          <w:sz w:val="20"/>
          <w:szCs w:val="20"/>
        </w:rPr>
        <w:t>2.人员配备合理。有针对本项目的专项服务小组，项目负责人、工作人员分工明确，确保服务质量（应有具体成员名单，包括姓名、工作职责、联系方式等）</w:t>
      </w:r>
      <w:r>
        <w:rPr>
          <w:rFonts w:hint="eastAsia" w:ascii="仿宋" w:hAnsi="仿宋" w:eastAsia="仿宋" w:cs="仿宋"/>
          <w:sz w:val="20"/>
          <w:szCs w:val="20"/>
          <w:lang w:eastAsia="zh-CN"/>
        </w:rPr>
        <w:t>。</w:t>
      </w:r>
    </w:p>
    <w:p w14:paraId="1837A02C">
      <w:pPr>
        <w:keepNext w:val="0"/>
        <w:keepLines w:val="0"/>
        <w:pageBreakBefore w:val="0"/>
        <w:widowControl w:val="0"/>
        <w:wordWrap/>
        <w:overflowPunct/>
        <w:topLinePunct w:val="0"/>
        <w:autoSpaceDE/>
        <w:autoSpaceDN/>
        <w:bidi w:val="0"/>
        <w:adjustRightInd/>
        <w:snapToGrid/>
        <w:spacing w:line="360" w:lineRule="auto"/>
        <w:ind w:firstLine="400" w:firstLineChars="200"/>
        <w:textAlignment w:val="auto"/>
        <w:outlineLvl w:val="9"/>
        <w:rPr>
          <w:rFonts w:hint="eastAsia" w:ascii="仿宋" w:hAnsi="仿宋" w:eastAsia="仿宋" w:cs="仿宋"/>
          <w:sz w:val="20"/>
          <w:szCs w:val="20"/>
        </w:rPr>
      </w:pPr>
      <w:r>
        <w:rPr>
          <w:rFonts w:hint="eastAsia" w:ascii="仿宋" w:hAnsi="仿宋" w:eastAsia="仿宋" w:cs="仿宋"/>
          <w:sz w:val="20"/>
          <w:szCs w:val="20"/>
        </w:rPr>
        <w:t>3.有各类突发事件的应急预案和措施，有明确具体的承诺。</w:t>
      </w:r>
    </w:p>
    <w:p w14:paraId="79C4FE84">
      <w:pPr>
        <w:keepNext w:val="0"/>
        <w:keepLines w:val="0"/>
        <w:pageBreakBefore w:val="0"/>
        <w:widowControl w:val="0"/>
        <w:wordWrap/>
        <w:overflowPunct/>
        <w:topLinePunct w:val="0"/>
        <w:autoSpaceDE/>
        <w:autoSpaceDN/>
        <w:bidi w:val="0"/>
        <w:adjustRightInd/>
        <w:snapToGrid/>
        <w:spacing w:line="360" w:lineRule="auto"/>
        <w:ind w:firstLine="400" w:firstLineChars="200"/>
        <w:textAlignment w:val="auto"/>
        <w:rPr>
          <w:rFonts w:hint="eastAsia" w:ascii="仿宋" w:hAnsi="仿宋" w:eastAsia="仿宋" w:cs="仿宋"/>
          <w:bCs/>
          <w:color w:val="000000"/>
          <w:sz w:val="20"/>
          <w:szCs w:val="20"/>
        </w:rPr>
      </w:pPr>
      <w:r>
        <w:rPr>
          <w:rFonts w:hint="eastAsia" w:ascii="仿宋" w:hAnsi="仿宋" w:eastAsia="仿宋" w:cs="仿宋"/>
          <w:sz w:val="20"/>
          <w:szCs w:val="20"/>
        </w:rPr>
        <w:t>4.</w:t>
      </w:r>
      <w:r>
        <w:rPr>
          <w:rFonts w:hint="eastAsia" w:ascii="仿宋" w:hAnsi="仿宋" w:eastAsia="仿宋" w:cs="仿宋"/>
          <w:sz w:val="20"/>
          <w:szCs w:val="20"/>
          <w:lang w:val="en-US" w:eastAsia="zh-CN"/>
        </w:rPr>
        <w:t>乙方</w:t>
      </w:r>
      <w:r>
        <w:rPr>
          <w:rFonts w:hint="eastAsia" w:ascii="仿宋" w:hAnsi="仿宋" w:eastAsia="仿宋" w:cs="仿宋"/>
          <w:sz w:val="20"/>
          <w:szCs w:val="20"/>
        </w:rPr>
        <w:t>所拟派的工作人员，若在服务期间发生侵害第三方或被第三方侵害</w:t>
      </w:r>
      <w:r>
        <w:rPr>
          <w:rFonts w:hint="eastAsia" w:ascii="仿宋" w:hAnsi="仿宋" w:eastAsia="仿宋" w:cs="仿宋"/>
          <w:sz w:val="20"/>
          <w:szCs w:val="20"/>
          <w:lang w:eastAsia="zh-CN"/>
        </w:rPr>
        <w:t>，</w:t>
      </w:r>
      <w:r>
        <w:rPr>
          <w:rFonts w:hint="eastAsia" w:ascii="仿宋" w:hAnsi="仿宋" w:eastAsia="仿宋" w:cs="仿宋"/>
          <w:sz w:val="20"/>
          <w:szCs w:val="20"/>
          <w:lang w:val="en-US" w:eastAsia="zh-CN"/>
        </w:rPr>
        <w:t>甲方</w:t>
      </w:r>
      <w:r>
        <w:rPr>
          <w:rFonts w:hint="eastAsia" w:ascii="仿宋" w:hAnsi="仿宋" w:eastAsia="仿宋" w:cs="仿宋"/>
          <w:sz w:val="20"/>
          <w:szCs w:val="20"/>
        </w:rPr>
        <w:t>概不负责，由</w:t>
      </w:r>
      <w:r>
        <w:rPr>
          <w:rFonts w:hint="eastAsia" w:ascii="仿宋" w:hAnsi="仿宋" w:eastAsia="仿宋" w:cs="仿宋"/>
          <w:sz w:val="20"/>
          <w:szCs w:val="20"/>
          <w:lang w:val="en-US" w:eastAsia="zh-CN"/>
        </w:rPr>
        <w:t>乙方</w:t>
      </w:r>
      <w:r>
        <w:rPr>
          <w:rFonts w:hint="eastAsia" w:ascii="仿宋" w:hAnsi="仿宋" w:eastAsia="仿宋" w:cs="仿宋"/>
          <w:sz w:val="20"/>
          <w:szCs w:val="20"/>
        </w:rPr>
        <w:t>自行处理并承担相应损失</w:t>
      </w:r>
      <w:r>
        <w:rPr>
          <w:rFonts w:hint="eastAsia" w:ascii="仿宋" w:hAnsi="仿宋" w:eastAsia="仿宋" w:cs="仿宋"/>
          <w:color w:val="000000"/>
          <w:sz w:val="20"/>
          <w:szCs w:val="20"/>
        </w:rPr>
        <w:t>。</w:t>
      </w:r>
    </w:p>
    <w:p w14:paraId="3D5A60B1">
      <w:pPr>
        <w:keepNext w:val="0"/>
        <w:keepLines w:val="0"/>
        <w:pageBreakBefore w:val="0"/>
        <w:widowControl w:val="0"/>
        <w:numPr>
          <w:ilvl w:val="0"/>
          <w:numId w:val="0"/>
        </w:numPr>
        <w:wordWrap/>
        <w:overflowPunct/>
        <w:topLinePunct w:val="0"/>
        <w:autoSpaceDE/>
        <w:autoSpaceDN/>
        <w:bidi w:val="0"/>
        <w:adjustRightInd/>
        <w:snapToGrid/>
        <w:spacing w:line="360" w:lineRule="auto"/>
        <w:textAlignment w:val="auto"/>
        <w:outlineLvl w:val="0"/>
        <w:rPr>
          <w:rFonts w:hint="eastAsia" w:ascii="仿宋" w:hAnsi="仿宋" w:eastAsia="仿宋" w:cs="仿宋"/>
          <w:b/>
          <w:color w:val="000000"/>
          <w:kern w:val="0"/>
          <w:sz w:val="20"/>
          <w:szCs w:val="20"/>
          <w:lang w:val="en-US" w:eastAsia="zh-CN" w:bidi="ar-SA"/>
        </w:rPr>
      </w:pPr>
      <w:r>
        <w:rPr>
          <w:rFonts w:hint="eastAsia" w:ascii="仿宋" w:hAnsi="仿宋" w:eastAsia="仿宋" w:cs="仿宋"/>
          <w:b/>
          <w:color w:val="000000"/>
          <w:kern w:val="0"/>
          <w:sz w:val="20"/>
          <w:szCs w:val="20"/>
          <w:lang w:val="en-US" w:eastAsia="zh-CN" w:bidi="ar-SA"/>
        </w:rPr>
        <w:t>八、甲方权利与义务</w:t>
      </w:r>
    </w:p>
    <w:p w14:paraId="7A6CE1B4">
      <w:pPr>
        <w:keepNext w:val="0"/>
        <w:keepLines w:val="0"/>
        <w:pageBreakBefore w:val="0"/>
        <w:wordWrap/>
        <w:overflowPunct/>
        <w:topLinePunct w:val="0"/>
        <w:bidi w:val="0"/>
        <w:adjustRightInd w:val="0"/>
        <w:snapToGrid w:val="0"/>
        <w:spacing w:line="360" w:lineRule="auto"/>
        <w:ind w:firstLine="396" w:firstLineChars="198"/>
        <w:textAlignment w:val="auto"/>
        <w:rPr>
          <w:rFonts w:hint="eastAsia"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lang w:val="en-US" w:eastAsia="zh-CN" w:bidi="ar-SA"/>
        </w:rPr>
        <w:t>1.甲方对乙方提供的服务进行指导、监督、检查，对服务效果进行考核。</w:t>
      </w:r>
    </w:p>
    <w:p w14:paraId="570CBA7C">
      <w:pPr>
        <w:keepNext w:val="0"/>
        <w:keepLines w:val="0"/>
        <w:pageBreakBefore w:val="0"/>
        <w:wordWrap/>
        <w:overflowPunct/>
        <w:topLinePunct w:val="0"/>
        <w:bidi w:val="0"/>
        <w:adjustRightInd w:val="0"/>
        <w:snapToGrid w:val="0"/>
        <w:spacing w:line="360" w:lineRule="auto"/>
        <w:ind w:firstLine="396" w:firstLineChars="198"/>
        <w:textAlignment w:val="auto"/>
        <w:rPr>
          <w:rFonts w:hint="eastAsia"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lang w:val="en-US" w:eastAsia="zh-CN" w:bidi="ar-SA"/>
        </w:rPr>
        <w:t>2.甲方对乙方不称职的服务人员提出调换。</w:t>
      </w:r>
    </w:p>
    <w:p w14:paraId="03D088A0">
      <w:pPr>
        <w:keepNext w:val="0"/>
        <w:keepLines w:val="0"/>
        <w:pageBreakBefore w:val="0"/>
        <w:wordWrap/>
        <w:overflowPunct/>
        <w:topLinePunct w:val="0"/>
        <w:bidi w:val="0"/>
        <w:adjustRightInd w:val="0"/>
        <w:snapToGrid w:val="0"/>
        <w:spacing w:line="360" w:lineRule="auto"/>
        <w:ind w:firstLine="396" w:firstLineChars="198"/>
        <w:textAlignment w:val="auto"/>
        <w:rPr>
          <w:rFonts w:hint="eastAsia"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lang w:val="en-US" w:eastAsia="zh-CN" w:bidi="ar-SA"/>
        </w:rPr>
        <w:t>3.甲方对乙方拟定下发的书面文件进行审核。</w:t>
      </w:r>
    </w:p>
    <w:p w14:paraId="0954C9C9">
      <w:pPr>
        <w:keepNext w:val="0"/>
        <w:keepLines w:val="0"/>
        <w:pageBreakBefore w:val="0"/>
        <w:wordWrap/>
        <w:overflowPunct/>
        <w:topLinePunct w:val="0"/>
        <w:bidi w:val="0"/>
        <w:adjustRightInd w:val="0"/>
        <w:snapToGrid w:val="0"/>
        <w:spacing w:line="360" w:lineRule="auto"/>
        <w:ind w:firstLine="396" w:firstLineChars="198"/>
        <w:textAlignment w:val="auto"/>
        <w:rPr>
          <w:rFonts w:hint="eastAsia"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lang w:val="en-US" w:eastAsia="zh-CN" w:bidi="ar-SA"/>
        </w:rPr>
        <w:t>4.甲方按合同约定按时向乙方支付应付款项。</w:t>
      </w:r>
    </w:p>
    <w:p w14:paraId="1496FA4B">
      <w:pPr>
        <w:keepNext w:val="0"/>
        <w:keepLines w:val="0"/>
        <w:pageBreakBefore w:val="0"/>
        <w:widowControl w:val="0"/>
        <w:numPr>
          <w:ilvl w:val="0"/>
          <w:numId w:val="0"/>
        </w:numPr>
        <w:wordWrap/>
        <w:overflowPunct/>
        <w:topLinePunct w:val="0"/>
        <w:autoSpaceDE/>
        <w:autoSpaceDN/>
        <w:bidi w:val="0"/>
        <w:adjustRightInd/>
        <w:snapToGrid/>
        <w:spacing w:line="360" w:lineRule="auto"/>
        <w:textAlignment w:val="auto"/>
        <w:outlineLvl w:val="0"/>
        <w:rPr>
          <w:rFonts w:hint="eastAsia" w:ascii="仿宋" w:hAnsi="仿宋" w:eastAsia="仿宋" w:cs="仿宋"/>
          <w:b/>
          <w:color w:val="000000"/>
          <w:kern w:val="0"/>
          <w:sz w:val="20"/>
          <w:szCs w:val="20"/>
          <w:lang w:val="en-US" w:eastAsia="zh-CN" w:bidi="ar-SA"/>
        </w:rPr>
      </w:pPr>
      <w:r>
        <w:rPr>
          <w:rFonts w:hint="eastAsia" w:ascii="仿宋" w:hAnsi="仿宋" w:eastAsia="仿宋" w:cs="仿宋"/>
          <w:b/>
          <w:color w:val="000000"/>
          <w:kern w:val="0"/>
          <w:sz w:val="20"/>
          <w:szCs w:val="20"/>
          <w:lang w:val="en-US" w:eastAsia="zh-CN" w:bidi="ar-SA"/>
        </w:rPr>
        <w:t>九、乙方权利与义务</w:t>
      </w:r>
    </w:p>
    <w:p w14:paraId="5A0B9CFF">
      <w:pPr>
        <w:keepNext w:val="0"/>
        <w:keepLines w:val="0"/>
        <w:pageBreakBefore w:val="0"/>
        <w:wordWrap/>
        <w:overflowPunct/>
        <w:topLinePunct w:val="0"/>
        <w:bidi w:val="0"/>
        <w:adjustRightInd w:val="0"/>
        <w:snapToGrid w:val="0"/>
        <w:spacing w:line="360" w:lineRule="auto"/>
        <w:ind w:firstLine="396" w:firstLineChars="198"/>
        <w:textAlignment w:val="auto"/>
        <w:rPr>
          <w:rFonts w:hint="eastAsia"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lang w:val="en-US" w:eastAsia="zh-CN" w:bidi="ar-SA"/>
        </w:rPr>
        <w:t>1.乙方应按照合同要求开展相关工作，并接受甲方指导和监督，在服务过程中切实维护甲方合法权益。</w:t>
      </w:r>
    </w:p>
    <w:p w14:paraId="55A568C0">
      <w:pPr>
        <w:keepNext w:val="0"/>
        <w:keepLines w:val="0"/>
        <w:pageBreakBefore w:val="0"/>
        <w:wordWrap/>
        <w:overflowPunct/>
        <w:topLinePunct w:val="0"/>
        <w:bidi w:val="0"/>
        <w:adjustRightInd w:val="0"/>
        <w:snapToGrid w:val="0"/>
        <w:spacing w:line="360" w:lineRule="auto"/>
        <w:ind w:firstLine="396" w:firstLineChars="198"/>
        <w:textAlignment w:val="auto"/>
        <w:rPr>
          <w:rFonts w:hint="eastAsia"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lang w:val="en-US" w:eastAsia="zh-CN" w:bidi="ar-SA"/>
        </w:rPr>
        <w:t>2.乙方接受甲方考评。</w:t>
      </w:r>
    </w:p>
    <w:p w14:paraId="3AF1384E">
      <w:pPr>
        <w:keepNext w:val="0"/>
        <w:keepLines w:val="0"/>
        <w:pageBreakBefore w:val="0"/>
        <w:wordWrap/>
        <w:overflowPunct/>
        <w:topLinePunct w:val="0"/>
        <w:bidi w:val="0"/>
        <w:adjustRightInd w:val="0"/>
        <w:snapToGrid w:val="0"/>
        <w:spacing w:line="360" w:lineRule="auto"/>
        <w:ind w:firstLine="396" w:firstLineChars="198"/>
        <w:textAlignment w:val="auto"/>
        <w:rPr>
          <w:rFonts w:hint="eastAsia"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lang w:val="en-US" w:eastAsia="zh-CN" w:bidi="ar-SA"/>
        </w:rPr>
        <w:t>3.乙方应妥善使用甲方配置的办公物资，合同到期后向甲方移交。</w:t>
      </w:r>
    </w:p>
    <w:p w14:paraId="62C69292">
      <w:pPr>
        <w:keepNext w:val="0"/>
        <w:keepLines w:val="0"/>
        <w:pageBreakBefore w:val="0"/>
        <w:wordWrap/>
        <w:overflowPunct/>
        <w:topLinePunct w:val="0"/>
        <w:bidi w:val="0"/>
        <w:adjustRightInd w:val="0"/>
        <w:snapToGrid w:val="0"/>
        <w:spacing w:line="360" w:lineRule="auto"/>
        <w:ind w:firstLine="396" w:firstLineChars="198"/>
        <w:textAlignment w:val="auto"/>
        <w:rPr>
          <w:rFonts w:hint="eastAsia"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lang w:val="en-US" w:eastAsia="zh-CN" w:bidi="ar-SA"/>
        </w:rPr>
        <w:t>4.乙方不得以任何形式将本项目转让、分包给其它单位或个人。</w:t>
      </w:r>
    </w:p>
    <w:p w14:paraId="1A3BDDF7">
      <w:pPr>
        <w:keepNext w:val="0"/>
        <w:keepLines w:val="0"/>
        <w:pageBreakBefore w:val="0"/>
        <w:wordWrap/>
        <w:overflowPunct/>
        <w:topLinePunct w:val="0"/>
        <w:bidi w:val="0"/>
        <w:adjustRightInd w:val="0"/>
        <w:snapToGrid w:val="0"/>
        <w:spacing w:line="360" w:lineRule="auto"/>
        <w:ind w:firstLine="396" w:firstLineChars="198"/>
        <w:textAlignment w:val="auto"/>
        <w:rPr>
          <w:rFonts w:hint="eastAsia" w:ascii="仿宋" w:hAnsi="仿宋" w:eastAsia="仿宋" w:cs="仿宋"/>
          <w:sz w:val="20"/>
          <w:szCs w:val="20"/>
          <w:lang w:val="en-US" w:eastAsia="zh-CN"/>
        </w:rPr>
      </w:pPr>
      <w:r>
        <w:rPr>
          <w:rFonts w:hint="eastAsia" w:ascii="仿宋" w:hAnsi="仿宋" w:eastAsia="仿宋" w:cs="仿宋"/>
          <w:color w:val="000000"/>
          <w:kern w:val="0"/>
          <w:sz w:val="20"/>
          <w:szCs w:val="20"/>
          <w:lang w:val="en-US" w:eastAsia="zh-CN" w:bidi="ar-SA"/>
        </w:rPr>
        <w:t>5.乙方对甲方提供的数据应遵守相关保密规定，未经甲方授权不得私自流转向第三方，成果验收移交后应主动删除销毁，不得用作其他商业用途。一旦泄密，应视为违约，并需承担相应法律责任。</w:t>
      </w:r>
    </w:p>
    <w:p w14:paraId="14BA79F7">
      <w:pPr>
        <w:pStyle w:val="7"/>
        <w:keepNext w:val="0"/>
        <w:keepLines w:val="0"/>
        <w:pageBreakBefore w:val="0"/>
        <w:widowControl w:val="0"/>
        <w:numPr>
          <w:ilvl w:val="0"/>
          <w:numId w:val="0"/>
        </w:numPr>
        <w:wordWrap/>
        <w:overflowPunct/>
        <w:topLinePunct w:val="0"/>
        <w:autoSpaceDE/>
        <w:autoSpaceDN/>
        <w:bidi w:val="0"/>
        <w:adjustRightInd/>
        <w:snapToGrid/>
        <w:spacing w:line="360" w:lineRule="auto"/>
        <w:ind w:firstLine="0" w:firstLineChars="0"/>
        <w:textAlignment w:val="auto"/>
        <w:outlineLvl w:val="0"/>
        <w:rPr>
          <w:rFonts w:hint="eastAsia" w:ascii="仿宋" w:hAnsi="仿宋" w:eastAsia="仿宋" w:cs="仿宋"/>
          <w:b/>
          <w:color w:val="000000"/>
          <w:sz w:val="20"/>
          <w:szCs w:val="20"/>
        </w:rPr>
      </w:pPr>
      <w:r>
        <w:rPr>
          <w:rFonts w:hint="eastAsia" w:ascii="仿宋" w:hAnsi="仿宋" w:eastAsia="仿宋" w:cs="仿宋"/>
          <w:b/>
          <w:color w:val="000000"/>
          <w:kern w:val="0"/>
          <w:sz w:val="20"/>
          <w:szCs w:val="20"/>
          <w:lang w:val="en-US" w:eastAsia="zh-CN" w:bidi="ar-SA"/>
        </w:rPr>
        <w:t>十、</w:t>
      </w:r>
      <w:r>
        <w:rPr>
          <w:rFonts w:hint="eastAsia" w:ascii="仿宋" w:hAnsi="仿宋" w:eastAsia="仿宋" w:cs="仿宋"/>
          <w:b/>
          <w:color w:val="000000"/>
          <w:sz w:val="20"/>
          <w:szCs w:val="20"/>
        </w:rPr>
        <w:t>安全责任：</w:t>
      </w:r>
    </w:p>
    <w:p w14:paraId="5988F15C">
      <w:pPr>
        <w:pStyle w:val="7"/>
        <w:keepNext w:val="0"/>
        <w:keepLines w:val="0"/>
        <w:pageBreakBefore w:val="0"/>
        <w:widowControl w:val="0"/>
        <w:wordWrap/>
        <w:overflowPunct/>
        <w:topLinePunct w:val="0"/>
        <w:autoSpaceDE/>
        <w:autoSpaceDN/>
        <w:bidi w:val="0"/>
        <w:adjustRightInd/>
        <w:snapToGrid/>
        <w:spacing w:line="360" w:lineRule="auto"/>
        <w:ind w:firstLine="480"/>
        <w:textAlignment w:val="auto"/>
        <w:rPr>
          <w:rFonts w:hint="eastAsia" w:ascii="仿宋" w:hAnsi="仿宋" w:eastAsia="仿宋" w:cs="仿宋"/>
          <w:sz w:val="20"/>
          <w:szCs w:val="20"/>
          <w:lang w:val="zh-CN"/>
        </w:rPr>
      </w:pPr>
      <w:r>
        <w:rPr>
          <w:rFonts w:hint="eastAsia" w:ascii="仿宋" w:hAnsi="仿宋" w:eastAsia="仿宋" w:cs="仿宋"/>
          <w:color w:val="000000"/>
          <w:sz w:val="20"/>
          <w:szCs w:val="20"/>
          <w:lang w:val="zh-CN"/>
        </w:rPr>
        <w:t>乙方应对其工作人员在现场工作期间的一切行为负责，如安全事故责任及因</w:t>
      </w:r>
      <w:r>
        <w:rPr>
          <w:rFonts w:hint="eastAsia" w:ascii="仿宋" w:hAnsi="仿宋" w:eastAsia="仿宋" w:cs="仿宋"/>
          <w:sz w:val="20"/>
          <w:szCs w:val="20"/>
          <w:lang w:val="zh-CN"/>
        </w:rPr>
        <w:t>此发生的人身损害赔偿和其它费用由乙方承担。</w:t>
      </w:r>
    </w:p>
    <w:p w14:paraId="39A6B85A">
      <w:pPr>
        <w:keepNext w:val="0"/>
        <w:keepLines w:val="0"/>
        <w:pageBreakBefore w:val="0"/>
        <w:widowControl w:val="0"/>
        <w:numPr>
          <w:ilvl w:val="0"/>
          <w:numId w:val="0"/>
        </w:numPr>
        <w:wordWrap/>
        <w:overflowPunct/>
        <w:topLinePunct w:val="0"/>
        <w:autoSpaceDE/>
        <w:autoSpaceDN/>
        <w:bidi w:val="0"/>
        <w:adjustRightInd/>
        <w:snapToGrid/>
        <w:spacing w:line="360" w:lineRule="auto"/>
        <w:textAlignment w:val="auto"/>
        <w:outlineLvl w:val="0"/>
        <w:rPr>
          <w:rFonts w:hint="eastAsia" w:ascii="仿宋" w:hAnsi="仿宋" w:eastAsia="仿宋" w:cs="仿宋"/>
          <w:b/>
          <w:sz w:val="20"/>
          <w:szCs w:val="20"/>
        </w:rPr>
      </w:pPr>
      <w:r>
        <w:rPr>
          <w:rFonts w:hint="eastAsia" w:ascii="仿宋" w:hAnsi="仿宋" w:eastAsia="仿宋" w:cs="仿宋"/>
          <w:b/>
          <w:kern w:val="0"/>
          <w:sz w:val="20"/>
          <w:szCs w:val="20"/>
          <w:lang w:val="en-US" w:eastAsia="zh-CN" w:bidi="ar-SA"/>
        </w:rPr>
        <w:t>十一、</w:t>
      </w:r>
      <w:r>
        <w:rPr>
          <w:rFonts w:hint="eastAsia" w:ascii="仿宋" w:hAnsi="仿宋" w:eastAsia="仿宋" w:cs="仿宋"/>
          <w:b/>
          <w:sz w:val="20"/>
          <w:szCs w:val="20"/>
        </w:rPr>
        <w:t>考核验收：</w:t>
      </w:r>
    </w:p>
    <w:p w14:paraId="17BB607B">
      <w:pPr>
        <w:keepNext w:val="0"/>
        <w:keepLines w:val="0"/>
        <w:pageBreakBefore w:val="0"/>
        <w:widowControl w:val="0"/>
        <w:wordWrap/>
        <w:overflowPunct/>
        <w:topLinePunct w:val="0"/>
        <w:autoSpaceDE/>
        <w:autoSpaceDN/>
        <w:bidi w:val="0"/>
        <w:adjustRightInd/>
        <w:snapToGrid/>
        <w:spacing w:line="360" w:lineRule="auto"/>
        <w:ind w:firstLine="400" w:firstLineChars="200"/>
        <w:textAlignment w:val="auto"/>
        <w:rPr>
          <w:rFonts w:hint="eastAsia" w:ascii="仿宋" w:hAnsi="仿宋" w:eastAsia="仿宋" w:cs="仿宋"/>
          <w:color w:val="FF0000"/>
          <w:sz w:val="20"/>
          <w:szCs w:val="20"/>
        </w:rPr>
      </w:pPr>
      <w:r>
        <w:rPr>
          <w:rFonts w:hint="eastAsia" w:ascii="仿宋" w:hAnsi="仿宋" w:eastAsia="仿宋" w:cs="仿宋"/>
          <w:sz w:val="20"/>
          <w:szCs w:val="20"/>
        </w:rPr>
        <w:t>由</w:t>
      </w:r>
      <w:r>
        <w:rPr>
          <w:rFonts w:hint="eastAsia" w:ascii="仿宋" w:hAnsi="仿宋" w:eastAsia="仿宋" w:cs="仿宋"/>
          <w:sz w:val="20"/>
          <w:szCs w:val="20"/>
          <w:lang w:val="en-US" w:eastAsia="zh-CN"/>
        </w:rPr>
        <w:t>甲方</w:t>
      </w:r>
      <w:r>
        <w:rPr>
          <w:rFonts w:hint="eastAsia" w:ascii="仿宋" w:hAnsi="仿宋" w:eastAsia="仿宋" w:cs="仿宋"/>
          <w:sz w:val="20"/>
          <w:szCs w:val="20"/>
        </w:rPr>
        <w:t>和</w:t>
      </w:r>
      <w:r>
        <w:rPr>
          <w:rFonts w:hint="eastAsia" w:ascii="仿宋" w:hAnsi="仿宋" w:eastAsia="仿宋" w:cs="仿宋"/>
          <w:sz w:val="20"/>
          <w:szCs w:val="20"/>
          <w:lang w:val="en-US" w:eastAsia="zh-CN"/>
        </w:rPr>
        <w:t>乙方</w:t>
      </w:r>
      <w:r>
        <w:rPr>
          <w:rFonts w:hint="eastAsia" w:ascii="仿宋" w:hAnsi="仿宋" w:eastAsia="仿宋" w:cs="仿宋"/>
          <w:sz w:val="20"/>
          <w:szCs w:val="20"/>
        </w:rPr>
        <w:t>共同对项目进行整</w:t>
      </w:r>
      <w:r>
        <w:rPr>
          <w:rFonts w:hint="eastAsia" w:ascii="仿宋" w:hAnsi="仿宋" w:eastAsia="仿宋" w:cs="仿宋"/>
          <w:color w:val="000000" w:themeColor="text1"/>
          <w:sz w:val="20"/>
          <w:szCs w:val="20"/>
          <w14:textFill>
            <w14:solidFill>
              <w14:schemeClr w14:val="tx1"/>
            </w14:solidFill>
          </w14:textFill>
        </w:rPr>
        <w:t>体验收。其内容包括是否按照</w:t>
      </w:r>
      <w:r>
        <w:rPr>
          <w:rFonts w:hint="eastAsia" w:ascii="仿宋" w:hAnsi="仿宋" w:eastAsia="仿宋" w:cs="仿宋"/>
          <w:color w:val="000000" w:themeColor="text1"/>
          <w:sz w:val="20"/>
          <w:szCs w:val="20"/>
          <w:lang w:val="en-US" w:eastAsia="zh-CN"/>
          <w14:textFill>
            <w14:solidFill>
              <w14:schemeClr w14:val="tx1"/>
            </w14:solidFill>
          </w14:textFill>
        </w:rPr>
        <w:t>甲方</w:t>
      </w:r>
      <w:r>
        <w:rPr>
          <w:rFonts w:hint="eastAsia" w:ascii="仿宋" w:hAnsi="仿宋" w:eastAsia="仿宋" w:cs="仿宋"/>
          <w:color w:val="000000" w:themeColor="text1"/>
          <w:sz w:val="20"/>
          <w:szCs w:val="20"/>
          <w14:textFill>
            <w14:solidFill>
              <w14:schemeClr w14:val="tx1"/>
            </w14:solidFill>
          </w14:textFill>
        </w:rPr>
        <w:t>要求进行服务、是否在规定时间内服务完毕。</w:t>
      </w:r>
    </w:p>
    <w:p w14:paraId="32824DF6">
      <w:pPr>
        <w:keepNext w:val="0"/>
        <w:keepLines w:val="0"/>
        <w:pageBreakBefore w:val="0"/>
        <w:widowControl w:val="0"/>
        <w:wordWrap/>
        <w:overflowPunct/>
        <w:topLinePunct w:val="0"/>
        <w:autoSpaceDE/>
        <w:autoSpaceDN/>
        <w:bidi w:val="0"/>
        <w:adjustRightInd/>
        <w:snapToGrid/>
        <w:spacing w:line="360" w:lineRule="auto"/>
        <w:textAlignment w:val="auto"/>
        <w:outlineLvl w:val="0"/>
        <w:rPr>
          <w:rFonts w:hint="eastAsia" w:ascii="仿宋" w:hAnsi="仿宋" w:eastAsia="仿宋" w:cs="仿宋"/>
          <w:b/>
          <w:bCs/>
          <w:sz w:val="20"/>
          <w:szCs w:val="20"/>
        </w:rPr>
      </w:pPr>
      <w:r>
        <w:rPr>
          <w:rFonts w:hint="eastAsia" w:ascii="仿宋" w:hAnsi="仿宋" w:eastAsia="仿宋" w:cs="仿宋"/>
          <w:b/>
          <w:bCs/>
          <w:sz w:val="20"/>
          <w:szCs w:val="20"/>
          <w:lang w:val="en-US" w:eastAsia="zh-CN"/>
        </w:rPr>
        <w:t>十二</w:t>
      </w:r>
      <w:r>
        <w:rPr>
          <w:rFonts w:hint="eastAsia" w:ascii="仿宋" w:hAnsi="仿宋" w:eastAsia="仿宋" w:cs="仿宋"/>
          <w:b/>
          <w:bCs/>
          <w:sz w:val="20"/>
          <w:szCs w:val="20"/>
        </w:rPr>
        <w:t>、保密要求：</w:t>
      </w:r>
    </w:p>
    <w:p w14:paraId="1F2D87E6">
      <w:pPr>
        <w:keepNext w:val="0"/>
        <w:keepLines w:val="0"/>
        <w:pageBreakBefore w:val="0"/>
        <w:widowControl w:val="0"/>
        <w:wordWrap/>
        <w:overflowPunct/>
        <w:topLinePunct w:val="0"/>
        <w:autoSpaceDE/>
        <w:autoSpaceDN/>
        <w:bidi w:val="0"/>
        <w:adjustRightInd/>
        <w:snapToGrid/>
        <w:spacing w:line="36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1.</w:t>
      </w:r>
      <w:r>
        <w:rPr>
          <w:rFonts w:hint="eastAsia" w:ascii="仿宋" w:hAnsi="仿宋" w:eastAsia="仿宋" w:cs="仿宋"/>
          <w:sz w:val="20"/>
          <w:szCs w:val="20"/>
          <w:lang w:val="en-US" w:eastAsia="zh-CN"/>
        </w:rPr>
        <w:t>乙方</w:t>
      </w:r>
      <w:r>
        <w:rPr>
          <w:rFonts w:hint="eastAsia" w:ascii="仿宋" w:hAnsi="仿宋" w:eastAsia="仿宋" w:cs="仿宋"/>
          <w:sz w:val="20"/>
          <w:szCs w:val="20"/>
        </w:rPr>
        <w:t>应严格遵守采购单位有关保密规定，不得泄漏一切机密；</w:t>
      </w:r>
    </w:p>
    <w:p w14:paraId="2E867037">
      <w:pPr>
        <w:pStyle w:val="7"/>
        <w:keepNext w:val="0"/>
        <w:keepLines w:val="0"/>
        <w:pageBreakBefore w:val="0"/>
        <w:widowControl w:val="0"/>
        <w:wordWrap/>
        <w:overflowPunct/>
        <w:topLinePunct w:val="0"/>
        <w:autoSpaceDE/>
        <w:autoSpaceDN/>
        <w:bidi w:val="0"/>
        <w:adjustRightInd/>
        <w:snapToGrid/>
        <w:spacing w:line="360" w:lineRule="auto"/>
        <w:ind w:firstLine="480"/>
        <w:textAlignment w:val="auto"/>
        <w:rPr>
          <w:rFonts w:hint="eastAsia" w:ascii="仿宋" w:hAnsi="仿宋" w:eastAsia="仿宋" w:cs="仿宋"/>
          <w:b/>
          <w:color w:val="000000"/>
          <w:sz w:val="20"/>
          <w:szCs w:val="20"/>
        </w:rPr>
      </w:pPr>
      <w:r>
        <w:rPr>
          <w:rFonts w:hint="eastAsia" w:ascii="仿宋" w:hAnsi="仿宋" w:eastAsia="仿宋" w:cs="仿宋"/>
          <w:sz w:val="20"/>
          <w:szCs w:val="20"/>
        </w:rPr>
        <w:t>2.在技术服务期间，</w:t>
      </w:r>
      <w:r>
        <w:rPr>
          <w:rFonts w:hint="eastAsia" w:ascii="仿宋" w:hAnsi="仿宋" w:eastAsia="仿宋" w:cs="仿宋"/>
          <w:sz w:val="20"/>
          <w:szCs w:val="20"/>
          <w:lang w:val="en-US" w:eastAsia="zh-CN"/>
        </w:rPr>
        <w:t>乙方</w:t>
      </w:r>
      <w:r>
        <w:rPr>
          <w:rFonts w:hint="eastAsia" w:ascii="仿宋" w:hAnsi="仿宋" w:eastAsia="仿宋" w:cs="仿宋"/>
          <w:sz w:val="20"/>
          <w:szCs w:val="20"/>
        </w:rPr>
        <w:t>对接触到的有关采购单位商业活动、技术情报和技术资料等文件进行保密。</w:t>
      </w:r>
    </w:p>
    <w:p w14:paraId="7F429074">
      <w:pPr>
        <w:pStyle w:val="7"/>
        <w:keepNext w:val="0"/>
        <w:keepLines w:val="0"/>
        <w:pageBreakBefore w:val="0"/>
        <w:widowControl w:val="0"/>
        <w:wordWrap/>
        <w:overflowPunct/>
        <w:topLinePunct w:val="0"/>
        <w:autoSpaceDE/>
        <w:autoSpaceDN/>
        <w:bidi w:val="0"/>
        <w:adjustRightInd/>
        <w:snapToGrid/>
        <w:spacing w:line="360" w:lineRule="auto"/>
        <w:ind w:firstLine="0" w:firstLineChars="0"/>
        <w:textAlignment w:val="auto"/>
        <w:outlineLvl w:val="0"/>
        <w:rPr>
          <w:rFonts w:hint="eastAsia" w:ascii="仿宋" w:hAnsi="仿宋" w:eastAsia="仿宋" w:cs="仿宋"/>
          <w:b/>
          <w:sz w:val="20"/>
          <w:szCs w:val="20"/>
        </w:rPr>
      </w:pPr>
      <w:r>
        <w:rPr>
          <w:rFonts w:hint="eastAsia" w:ascii="仿宋" w:hAnsi="仿宋" w:eastAsia="仿宋" w:cs="仿宋"/>
          <w:b/>
          <w:color w:val="000000"/>
          <w:sz w:val="20"/>
          <w:szCs w:val="20"/>
        </w:rPr>
        <w:t>十</w:t>
      </w:r>
      <w:r>
        <w:rPr>
          <w:rFonts w:hint="eastAsia" w:ascii="仿宋" w:hAnsi="仿宋" w:eastAsia="仿宋" w:cs="仿宋"/>
          <w:b/>
          <w:color w:val="000000"/>
          <w:sz w:val="20"/>
          <w:szCs w:val="20"/>
          <w:lang w:val="en-US" w:eastAsia="zh-CN"/>
        </w:rPr>
        <w:t>三</w:t>
      </w:r>
      <w:r>
        <w:rPr>
          <w:rFonts w:hint="eastAsia" w:ascii="仿宋" w:hAnsi="仿宋" w:eastAsia="仿宋" w:cs="仿宋"/>
          <w:b/>
          <w:color w:val="000000"/>
          <w:sz w:val="20"/>
          <w:szCs w:val="20"/>
        </w:rPr>
        <w:t>、违约责</w:t>
      </w:r>
      <w:r>
        <w:rPr>
          <w:rFonts w:hint="eastAsia" w:ascii="仿宋" w:hAnsi="仿宋" w:eastAsia="仿宋" w:cs="仿宋"/>
          <w:b/>
          <w:sz w:val="20"/>
          <w:szCs w:val="20"/>
        </w:rPr>
        <w:t>任：</w:t>
      </w:r>
    </w:p>
    <w:p w14:paraId="7EB40331">
      <w:pPr>
        <w:keepNext w:val="0"/>
        <w:keepLines w:val="0"/>
        <w:pageBreakBefore w:val="0"/>
        <w:widowControl w:val="0"/>
        <w:wordWrap/>
        <w:overflowPunct/>
        <w:topLinePunct w:val="0"/>
        <w:autoSpaceDE/>
        <w:autoSpaceDN/>
        <w:bidi w:val="0"/>
        <w:adjustRightInd/>
        <w:snapToGrid/>
        <w:spacing w:line="36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按《中华人民共和国政府采购法》、《中华人民共和国民法典》中的相关条款执行。</w:t>
      </w:r>
    </w:p>
    <w:p w14:paraId="112F2342">
      <w:pPr>
        <w:keepNext w:val="0"/>
        <w:keepLines w:val="0"/>
        <w:pageBreakBefore w:val="0"/>
        <w:widowControl w:val="0"/>
        <w:wordWrap/>
        <w:overflowPunct/>
        <w:topLinePunct w:val="0"/>
        <w:autoSpaceDE/>
        <w:autoSpaceDN/>
        <w:bidi w:val="0"/>
        <w:adjustRightInd/>
        <w:snapToGrid/>
        <w:spacing w:line="360" w:lineRule="auto"/>
        <w:textAlignment w:val="auto"/>
        <w:outlineLvl w:val="0"/>
        <w:rPr>
          <w:rFonts w:hint="eastAsia" w:ascii="仿宋" w:hAnsi="仿宋" w:eastAsia="仿宋" w:cs="仿宋"/>
          <w:b/>
          <w:color w:val="000000"/>
          <w:sz w:val="20"/>
          <w:szCs w:val="20"/>
        </w:rPr>
      </w:pPr>
      <w:r>
        <w:rPr>
          <w:rFonts w:hint="eastAsia" w:ascii="仿宋" w:hAnsi="仿宋" w:eastAsia="仿宋" w:cs="仿宋"/>
          <w:b/>
          <w:color w:val="000000"/>
          <w:sz w:val="20"/>
          <w:szCs w:val="20"/>
        </w:rPr>
        <w:t>十</w:t>
      </w:r>
      <w:r>
        <w:rPr>
          <w:rFonts w:hint="eastAsia" w:ascii="仿宋" w:hAnsi="仿宋" w:eastAsia="仿宋" w:cs="仿宋"/>
          <w:b/>
          <w:color w:val="000000"/>
          <w:sz w:val="20"/>
          <w:szCs w:val="20"/>
          <w:lang w:val="en-US" w:eastAsia="zh-CN"/>
        </w:rPr>
        <w:t>四</w:t>
      </w:r>
      <w:r>
        <w:rPr>
          <w:rFonts w:hint="eastAsia" w:ascii="仿宋" w:hAnsi="仿宋" w:eastAsia="仿宋" w:cs="仿宋"/>
          <w:b/>
          <w:color w:val="000000"/>
          <w:sz w:val="20"/>
          <w:szCs w:val="20"/>
        </w:rPr>
        <w:t>、合同争议的解决</w:t>
      </w:r>
    </w:p>
    <w:p w14:paraId="21E1977A">
      <w:pPr>
        <w:keepNext w:val="0"/>
        <w:keepLines w:val="0"/>
        <w:pageBreakBefore w:val="0"/>
        <w:widowControl w:val="0"/>
        <w:wordWrap/>
        <w:overflowPunct/>
        <w:topLinePunct w:val="0"/>
        <w:autoSpaceDE/>
        <w:autoSpaceDN/>
        <w:bidi w:val="0"/>
        <w:adjustRightInd/>
        <w:snapToGrid/>
        <w:spacing w:line="360" w:lineRule="auto"/>
        <w:ind w:firstLine="480"/>
        <w:jc w:val="left"/>
        <w:textAlignment w:val="auto"/>
        <w:rPr>
          <w:rFonts w:hint="eastAsia" w:ascii="仿宋" w:hAnsi="仿宋" w:eastAsia="仿宋" w:cs="仿宋"/>
          <w:color w:val="000000"/>
          <w:sz w:val="20"/>
          <w:szCs w:val="20"/>
        </w:rPr>
      </w:pPr>
      <w:r>
        <w:rPr>
          <w:rFonts w:hint="eastAsia" w:ascii="微软雅黑" w:hAnsi="微软雅黑" w:eastAsia="微软雅黑" w:cs="微软雅黑"/>
          <w:color w:val="000000"/>
          <w:sz w:val="20"/>
          <w:szCs w:val="20"/>
        </w:rPr>
        <w:t>①</w:t>
      </w:r>
      <w:r>
        <w:rPr>
          <w:rFonts w:hint="eastAsia" w:ascii="仿宋" w:hAnsi="仿宋" w:eastAsia="仿宋" w:cs="仿宋"/>
          <w:color w:val="000000"/>
          <w:sz w:val="20"/>
          <w:szCs w:val="20"/>
        </w:rPr>
        <w:t>本合同的成立、生效、履行、解释及争议解决，适用中华人民共和国法律、法规。</w:t>
      </w:r>
    </w:p>
    <w:p w14:paraId="61086E11">
      <w:pPr>
        <w:keepNext w:val="0"/>
        <w:keepLines w:val="0"/>
        <w:pageBreakBefore w:val="0"/>
        <w:widowControl w:val="0"/>
        <w:wordWrap/>
        <w:overflowPunct/>
        <w:topLinePunct w:val="0"/>
        <w:autoSpaceDE/>
        <w:autoSpaceDN/>
        <w:bidi w:val="0"/>
        <w:adjustRightInd/>
        <w:snapToGrid/>
        <w:spacing w:line="360" w:lineRule="auto"/>
        <w:ind w:firstLine="480"/>
        <w:jc w:val="left"/>
        <w:textAlignment w:val="auto"/>
        <w:rPr>
          <w:rFonts w:hint="eastAsia" w:ascii="仿宋" w:hAnsi="仿宋" w:eastAsia="仿宋" w:cs="仿宋"/>
          <w:color w:val="000000"/>
          <w:sz w:val="20"/>
          <w:szCs w:val="20"/>
          <w:lang w:val="en-US" w:eastAsia="zh-CN"/>
        </w:rPr>
      </w:pPr>
      <w:r>
        <w:rPr>
          <w:rFonts w:hint="eastAsia" w:ascii="微软雅黑" w:hAnsi="微软雅黑" w:eastAsia="微软雅黑" w:cs="微软雅黑"/>
          <w:color w:val="000000"/>
          <w:sz w:val="20"/>
          <w:szCs w:val="20"/>
          <w:lang w:val="en-US" w:eastAsia="zh-CN"/>
        </w:rPr>
        <w:t>②</w:t>
      </w:r>
      <w:r>
        <w:rPr>
          <w:rFonts w:hint="eastAsia" w:ascii="仿宋" w:hAnsi="仿宋" w:eastAsia="仿宋" w:cs="仿宋"/>
          <w:color w:val="000000"/>
          <w:sz w:val="20"/>
          <w:szCs w:val="20"/>
          <w:lang w:val="en-US" w:eastAsia="zh-CN"/>
        </w:rPr>
        <w:t>合同一经签订，不得擅自变更、调整、中止或者终止合同。对确需变更、调整或者中止、终止合同的，应按规定履行相应的手续。</w:t>
      </w:r>
    </w:p>
    <w:p w14:paraId="03BE891A">
      <w:pPr>
        <w:keepNext w:val="0"/>
        <w:keepLines w:val="0"/>
        <w:pageBreakBefore w:val="0"/>
        <w:widowControl w:val="0"/>
        <w:wordWrap/>
        <w:overflowPunct/>
        <w:topLinePunct w:val="0"/>
        <w:autoSpaceDE/>
        <w:autoSpaceDN/>
        <w:bidi w:val="0"/>
        <w:adjustRightInd/>
        <w:snapToGrid/>
        <w:spacing w:line="360" w:lineRule="auto"/>
        <w:ind w:firstLine="480"/>
        <w:jc w:val="left"/>
        <w:textAlignment w:val="auto"/>
        <w:rPr>
          <w:rFonts w:hint="eastAsia" w:ascii="仿宋" w:hAnsi="仿宋" w:eastAsia="仿宋" w:cs="仿宋"/>
          <w:color w:val="000000"/>
          <w:sz w:val="20"/>
          <w:szCs w:val="20"/>
          <w:lang w:val="en-US" w:eastAsia="zh-CN"/>
        </w:rPr>
      </w:pPr>
      <w:r>
        <w:rPr>
          <w:rFonts w:hint="eastAsia" w:ascii="微软雅黑" w:hAnsi="微软雅黑" w:eastAsia="微软雅黑" w:cs="微软雅黑"/>
          <w:color w:val="000000"/>
          <w:sz w:val="20"/>
          <w:szCs w:val="20"/>
          <w:lang w:val="en-US" w:eastAsia="zh-CN"/>
        </w:rPr>
        <w:t>③</w:t>
      </w:r>
      <w:r>
        <w:rPr>
          <w:rFonts w:hint="eastAsia" w:ascii="仿宋" w:hAnsi="仿宋" w:eastAsia="仿宋" w:cs="仿宋"/>
          <w:color w:val="000000"/>
          <w:sz w:val="20"/>
          <w:szCs w:val="20"/>
          <w:lang w:val="en-US" w:eastAsia="zh-CN"/>
        </w:rPr>
        <w:t>甲方在合同的履行期间以及履行期后，可以随时检查项目的执行情况，对磋商响应标准、磋商响应内容进行调查核实，并对发现的问题进行处理。</w:t>
      </w:r>
    </w:p>
    <w:p w14:paraId="7C087379">
      <w:pPr>
        <w:keepNext w:val="0"/>
        <w:keepLines w:val="0"/>
        <w:pageBreakBefore w:val="0"/>
        <w:widowControl w:val="0"/>
        <w:wordWrap/>
        <w:overflowPunct/>
        <w:topLinePunct w:val="0"/>
        <w:autoSpaceDE/>
        <w:autoSpaceDN/>
        <w:bidi w:val="0"/>
        <w:adjustRightInd/>
        <w:snapToGrid/>
        <w:spacing w:line="360" w:lineRule="auto"/>
        <w:ind w:firstLine="480"/>
        <w:jc w:val="left"/>
        <w:textAlignment w:val="auto"/>
        <w:rPr>
          <w:rFonts w:hint="eastAsia" w:ascii="仿宋" w:hAnsi="仿宋" w:eastAsia="仿宋" w:cs="仿宋"/>
          <w:color w:val="000000"/>
          <w:sz w:val="20"/>
          <w:szCs w:val="20"/>
        </w:rPr>
      </w:pPr>
      <w:r>
        <w:rPr>
          <w:rFonts w:hint="eastAsia" w:ascii="微软雅黑" w:hAnsi="微软雅黑" w:eastAsia="微软雅黑" w:cs="微软雅黑"/>
          <w:color w:val="000000"/>
          <w:sz w:val="20"/>
          <w:szCs w:val="20"/>
          <w:lang w:val="en-US" w:eastAsia="zh-CN"/>
        </w:rPr>
        <w:t>④</w:t>
      </w:r>
      <w:r>
        <w:rPr>
          <w:rFonts w:hint="eastAsia" w:ascii="仿宋" w:hAnsi="仿宋" w:eastAsia="仿宋" w:cs="仿宋"/>
          <w:color w:val="000000"/>
          <w:sz w:val="20"/>
          <w:szCs w:val="20"/>
          <w:lang w:val="en-US" w:eastAsia="zh-CN"/>
        </w:rPr>
        <w:t>合同争议的解决：合同在履行过程中发生的争议，甲乙双方应协商解决，协商不一致时，可向甲方所在地人民法院提起诉讼。</w:t>
      </w:r>
    </w:p>
    <w:p w14:paraId="138C4DBB">
      <w:pPr>
        <w:keepNext w:val="0"/>
        <w:keepLines w:val="0"/>
        <w:pageBreakBefore w:val="0"/>
        <w:widowControl w:val="0"/>
        <w:wordWrap/>
        <w:overflowPunct/>
        <w:topLinePunct w:val="0"/>
        <w:autoSpaceDE/>
        <w:autoSpaceDN/>
        <w:bidi w:val="0"/>
        <w:adjustRightInd/>
        <w:snapToGrid/>
        <w:spacing w:line="360" w:lineRule="auto"/>
        <w:jc w:val="left"/>
        <w:textAlignment w:val="auto"/>
        <w:outlineLvl w:val="0"/>
        <w:rPr>
          <w:rFonts w:hint="eastAsia" w:ascii="仿宋" w:hAnsi="仿宋" w:eastAsia="仿宋" w:cs="仿宋"/>
          <w:b/>
          <w:bCs/>
          <w:color w:val="000000"/>
          <w:sz w:val="20"/>
          <w:szCs w:val="20"/>
        </w:rPr>
      </w:pPr>
      <w:r>
        <w:rPr>
          <w:rFonts w:hint="eastAsia" w:ascii="仿宋" w:hAnsi="仿宋" w:eastAsia="仿宋" w:cs="仿宋"/>
          <w:b/>
          <w:bCs/>
          <w:color w:val="000000"/>
          <w:sz w:val="20"/>
          <w:szCs w:val="20"/>
        </w:rPr>
        <w:t>十</w:t>
      </w:r>
      <w:r>
        <w:rPr>
          <w:rFonts w:hint="eastAsia" w:ascii="仿宋" w:hAnsi="仿宋" w:eastAsia="仿宋" w:cs="仿宋"/>
          <w:b/>
          <w:bCs/>
          <w:color w:val="000000"/>
          <w:sz w:val="20"/>
          <w:szCs w:val="20"/>
          <w:lang w:val="en-US" w:eastAsia="zh-CN"/>
        </w:rPr>
        <w:t>五</w:t>
      </w:r>
      <w:r>
        <w:rPr>
          <w:rFonts w:hint="eastAsia" w:ascii="仿宋" w:hAnsi="仿宋" w:eastAsia="仿宋" w:cs="仿宋"/>
          <w:b/>
          <w:bCs/>
          <w:color w:val="000000"/>
          <w:sz w:val="20"/>
          <w:szCs w:val="20"/>
        </w:rPr>
        <w:t>、不可抗力情况下的免责约定</w:t>
      </w:r>
    </w:p>
    <w:p w14:paraId="1A6C2E28">
      <w:pPr>
        <w:keepNext w:val="0"/>
        <w:keepLines w:val="0"/>
        <w:pageBreakBefore w:val="0"/>
        <w:widowControl w:val="0"/>
        <w:wordWrap/>
        <w:overflowPunct/>
        <w:topLinePunct w:val="0"/>
        <w:autoSpaceDE/>
        <w:autoSpaceDN/>
        <w:bidi w:val="0"/>
        <w:adjustRightInd/>
        <w:snapToGrid/>
        <w:spacing w:line="360" w:lineRule="auto"/>
        <w:ind w:firstLine="480"/>
        <w:jc w:val="left"/>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双方约定不可抗力情况指：双方不可预见、不可避免、不可克服的客观情况，但不包括双方的违约或疏忽。这些事件包括但不限于：战争、严重火灾、洪水、台风、地震等。</w:t>
      </w:r>
    </w:p>
    <w:p w14:paraId="5ACB088C">
      <w:pPr>
        <w:keepNext w:val="0"/>
        <w:keepLines w:val="0"/>
        <w:pageBreakBefore w:val="0"/>
        <w:widowControl w:val="0"/>
        <w:wordWrap/>
        <w:overflowPunct/>
        <w:topLinePunct w:val="0"/>
        <w:autoSpaceDE/>
        <w:autoSpaceDN/>
        <w:bidi w:val="0"/>
        <w:adjustRightInd/>
        <w:snapToGrid/>
        <w:spacing w:line="360" w:lineRule="auto"/>
        <w:jc w:val="left"/>
        <w:textAlignment w:val="auto"/>
        <w:outlineLvl w:val="0"/>
        <w:rPr>
          <w:rFonts w:hint="eastAsia" w:ascii="仿宋" w:hAnsi="仿宋" w:eastAsia="仿宋" w:cs="仿宋"/>
          <w:b/>
          <w:bCs/>
          <w:color w:val="000000"/>
          <w:sz w:val="20"/>
          <w:szCs w:val="20"/>
          <w:lang w:val="en-US" w:eastAsia="zh-CN"/>
        </w:rPr>
      </w:pPr>
      <w:r>
        <w:rPr>
          <w:rFonts w:hint="eastAsia" w:ascii="仿宋" w:hAnsi="仿宋" w:eastAsia="仿宋" w:cs="仿宋"/>
          <w:b/>
          <w:bCs/>
          <w:color w:val="000000"/>
          <w:sz w:val="20"/>
          <w:szCs w:val="20"/>
          <w:lang w:val="en-US" w:eastAsia="zh-CN"/>
        </w:rPr>
        <w:t>十六、其他约定条款</w:t>
      </w:r>
    </w:p>
    <w:p w14:paraId="6048F3DA">
      <w:pPr>
        <w:keepNext w:val="0"/>
        <w:keepLines w:val="0"/>
        <w:pageBreakBefore w:val="0"/>
        <w:wordWrap/>
        <w:overflowPunct/>
        <w:topLinePunct w:val="0"/>
        <w:bidi w:val="0"/>
        <w:adjustRightInd w:val="0"/>
        <w:snapToGrid w:val="0"/>
        <w:spacing w:line="360" w:lineRule="auto"/>
        <w:ind w:firstLine="396" w:firstLineChars="198"/>
        <w:textAlignment w:val="auto"/>
        <w:rPr>
          <w:rFonts w:hint="eastAsia"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lang w:val="en-US" w:eastAsia="zh-CN" w:bidi="ar-SA"/>
        </w:rPr>
        <w:t>政府采购合同履行中，甲方需追加与合同标的相同的货物、工程或者服务的，在不改变合同其他条款的前提下，可以与乙方协商签订补充合同，但所有补充合同的采购金额不得超过原合同采购金额的10%。</w:t>
      </w:r>
    </w:p>
    <w:p w14:paraId="361BCEE2">
      <w:pPr>
        <w:keepNext w:val="0"/>
        <w:keepLines w:val="0"/>
        <w:pageBreakBefore w:val="0"/>
        <w:widowControl w:val="0"/>
        <w:wordWrap/>
        <w:overflowPunct/>
        <w:topLinePunct w:val="0"/>
        <w:autoSpaceDE/>
        <w:autoSpaceDN/>
        <w:bidi w:val="0"/>
        <w:adjustRightInd/>
        <w:snapToGrid/>
        <w:spacing w:line="360" w:lineRule="auto"/>
        <w:textAlignment w:val="auto"/>
        <w:rPr>
          <w:rFonts w:hint="eastAsia" w:ascii="仿宋" w:hAnsi="仿宋" w:eastAsia="仿宋" w:cs="仿宋"/>
          <w:b/>
          <w:color w:val="000000"/>
          <w:sz w:val="20"/>
          <w:szCs w:val="20"/>
        </w:rPr>
      </w:pPr>
      <w:r>
        <w:rPr>
          <w:rFonts w:hint="eastAsia" w:ascii="仿宋" w:hAnsi="仿宋" w:eastAsia="仿宋" w:cs="仿宋"/>
          <w:b/>
          <w:color w:val="000000"/>
          <w:sz w:val="20"/>
          <w:szCs w:val="20"/>
        </w:rPr>
        <w:t>十</w:t>
      </w:r>
      <w:r>
        <w:rPr>
          <w:rFonts w:hint="eastAsia" w:ascii="仿宋" w:hAnsi="仿宋" w:eastAsia="仿宋" w:cs="仿宋"/>
          <w:b/>
          <w:color w:val="000000"/>
          <w:sz w:val="20"/>
          <w:szCs w:val="20"/>
          <w:lang w:val="en-US" w:eastAsia="zh-CN"/>
        </w:rPr>
        <w:t>七</w:t>
      </w:r>
      <w:r>
        <w:rPr>
          <w:rFonts w:hint="eastAsia" w:ascii="仿宋" w:hAnsi="仿宋" w:eastAsia="仿宋" w:cs="仿宋"/>
          <w:b/>
          <w:color w:val="000000"/>
          <w:sz w:val="20"/>
          <w:szCs w:val="20"/>
        </w:rPr>
        <w:t>、合同订立</w:t>
      </w:r>
    </w:p>
    <w:p w14:paraId="3B22A28C">
      <w:pPr>
        <w:keepNext w:val="0"/>
        <w:keepLines w:val="0"/>
        <w:pageBreakBefore w:val="0"/>
        <w:widowControl w:val="0"/>
        <w:wordWrap/>
        <w:overflowPunct/>
        <w:topLinePunct w:val="0"/>
        <w:autoSpaceDE/>
        <w:autoSpaceDN/>
        <w:bidi w:val="0"/>
        <w:adjustRightInd/>
        <w:snapToGrid/>
        <w:spacing w:line="360" w:lineRule="auto"/>
        <w:ind w:firstLine="396" w:firstLineChars="198"/>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1. 订立时间：</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u w:val="single"/>
          <w:lang w:val="en-US" w:eastAsia="zh-CN"/>
        </w:rPr>
        <w:t>2025</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年</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月</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日。</w:t>
      </w:r>
    </w:p>
    <w:p w14:paraId="36983C86">
      <w:pPr>
        <w:keepNext w:val="0"/>
        <w:keepLines w:val="0"/>
        <w:pageBreakBefore w:val="0"/>
        <w:widowControl w:val="0"/>
        <w:wordWrap/>
        <w:overflowPunct/>
        <w:topLinePunct w:val="0"/>
        <w:autoSpaceDE/>
        <w:autoSpaceDN/>
        <w:bidi w:val="0"/>
        <w:adjustRightInd/>
        <w:snapToGrid/>
        <w:spacing w:line="360" w:lineRule="auto"/>
        <w:ind w:firstLine="396" w:firstLineChars="198"/>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2. 订立地点：</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u w:val="single"/>
          <w:lang w:val="en-US" w:eastAsia="zh-CN"/>
        </w:rPr>
        <w:t>西安市</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p w14:paraId="54D33497">
      <w:pPr>
        <w:keepNext w:val="0"/>
        <w:keepLines w:val="0"/>
        <w:pageBreakBefore w:val="0"/>
        <w:widowControl w:val="0"/>
        <w:tabs>
          <w:tab w:val="left" w:pos="980"/>
        </w:tabs>
        <w:kinsoku w:val="0"/>
        <w:wordWrap/>
        <w:overflowPunct/>
        <w:topLinePunct w:val="0"/>
        <w:autoSpaceDE/>
        <w:autoSpaceDN/>
        <w:bidi w:val="0"/>
        <w:adjustRightInd/>
        <w:snapToGrid/>
        <w:spacing w:line="360" w:lineRule="auto"/>
        <w:ind w:firstLine="400" w:firstLineChars="200"/>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3. 本合同一式</w:t>
      </w:r>
      <w:r>
        <w:rPr>
          <w:rFonts w:hint="eastAsia" w:ascii="仿宋" w:hAnsi="仿宋" w:eastAsia="仿宋" w:cs="仿宋"/>
          <w:color w:val="000000"/>
          <w:sz w:val="20"/>
          <w:szCs w:val="20"/>
          <w:u w:val="single"/>
        </w:rPr>
        <w:t xml:space="preserve"> 伍 </w:t>
      </w:r>
      <w:r>
        <w:rPr>
          <w:rFonts w:hint="eastAsia" w:ascii="仿宋" w:hAnsi="仿宋" w:eastAsia="仿宋" w:cs="仿宋"/>
          <w:color w:val="000000"/>
          <w:sz w:val="20"/>
          <w:szCs w:val="20"/>
        </w:rPr>
        <w:t>份，具有同等法律效力，双方各执</w:t>
      </w:r>
      <w:r>
        <w:rPr>
          <w:rFonts w:hint="eastAsia" w:ascii="仿宋" w:hAnsi="仿宋" w:eastAsia="仿宋" w:cs="仿宋"/>
          <w:color w:val="000000"/>
          <w:sz w:val="20"/>
          <w:szCs w:val="20"/>
          <w:u w:val="single"/>
        </w:rPr>
        <w:t xml:space="preserve"> 贰 </w:t>
      </w:r>
      <w:r>
        <w:rPr>
          <w:rFonts w:hint="eastAsia" w:ascii="仿宋" w:hAnsi="仿宋" w:eastAsia="仿宋" w:cs="仿宋"/>
          <w:color w:val="000000"/>
          <w:sz w:val="20"/>
          <w:szCs w:val="20"/>
        </w:rPr>
        <w:t>份招标代理机构存档</w:t>
      </w:r>
      <w:r>
        <w:rPr>
          <w:rFonts w:hint="eastAsia" w:ascii="仿宋" w:hAnsi="仿宋" w:eastAsia="仿宋" w:cs="仿宋"/>
          <w:color w:val="000000"/>
          <w:sz w:val="20"/>
          <w:szCs w:val="20"/>
          <w:u w:val="single"/>
        </w:rPr>
        <w:t xml:space="preserve"> 壹 </w:t>
      </w:r>
      <w:r>
        <w:rPr>
          <w:rFonts w:hint="eastAsia" w:ascii="仿宋" w:hAnsi="仿宋" w:eastAsia="仿宋" w:cs="仿宋"/>
          <w:color w:val="000000"/>
          <w:sz w:val="20"/>
          <w:szCs w:val="20"/>
        </w:rPr>
        <w:t>份。各方签字盖章后生效，合同执行完毕自动失效。</w:t>
      </w:r>
    </w:p>
    <w:p w14:paraId="3C899D4F">
      <w:pPr>
        <w:keepNext w:val="0"/>
        <w:keepLines w:val="0"/>
        <w:pageBreakBefore w:val="0"/>
        <w:widowControl w:val="0"/>
        <w:wordWrap/>
        <w:overflowPunct/>
        <w:topLinePunct w:val="0"/>
        <w:autoSpaceDE/>
        <w:autoSpaceDN/>
        <w:bidi w:val="0"/>
        <w:adjustRightInd/>
        <w:snapToGrid/>
        <w:spacing w:line="360" w:lineRule="auto"/>
        <w:jc w:val="left"/>
        <w:textAlignment w:val="auto"/>
        <w:outlineLvl w:val="0"/>
        <w:rPr>
          <w:rFonts w:hint="eastAsia" w:ascii="仿宋" w:hAnsi="仿宋" w:eastAsia="仿宋" w:cs="仿宋"/>
          <w:b/>
          <w:bCs/>
          <w:color w:val="000000"/>
          <w:sz w:val="20"/>
          <w:szCs w:val="20"/>
          <w:lang w:val="en-US" w:eastAsia="zh-CN"/>
        </w:rPr>
      </w:pPr>
      <w:r>
        <w:rPr>
          <w:rFonts w:hint="eastAsia" w:ascii="仿宋" w:hAnsi="仿宋" w:eastAsia="仿宋" w:cs="仿宋"/>
          <w:b/>
          <w:bCs/>
          <w:color w:val="000000"/>
          <w:sz w:val="20"/>
          <w:szCs w:val="20"/>
          <w:lang w:val="en-US" w:eastAsia="zh-CN"/>
        </w:rPr>
        <w:t>十八：</w:t>
      </w:r>
      <w:r>
        <w:rPr>
          <w:rFonts w:hint="eastAsia" w:ascii="仿宋" w:hAnsi="仿宋" w:eastAsia="仿宋" w:cs="仿宋"/>
          <w:b/>
          <w:bCs/>
          <w:color w:val="000000"/>
          <w:sz w:val="20"/>
          <w:szCs w:val="20"/>
        </w:rPr>
        <w:t>合同生效</w:t>
      </w:r>
      <w:r>
        <w:rPr>
          <w:rFonts w:hint="eastAsia" w:ascii="仿宋" w:hAnsi="仿宋" w:eastAsia="仿宋" w:cs="仿宋"/>
          <w:b/>
          <w:bCs/>
          <w:color w:val="000000"/>
          <w:sz w:val="20"/>
          <w:szCs w:val="20"/>
          <w:lang w:val="en-US" w:eastAsia="zh-CN"/>
        </w:rPr>
        <w:t>及其他</w:t>
      </w:r>
    </w:p>
    <w:p w14:paraId="394FA787">
      <w:pPr>
        <w:keepNext w:val="0"/>
        <w:keepLines w:val="0"/>
        <w:pageBreakBefore w:val="0"/>
        <w:wordWrap/>
        <w:overflowPunct/>
        <w:topLinePunct w:val="0"/>
        <w:bidi w:val="0"/>
        <w:adjustRightInd w:val="0"/>
        <w:snapToGrid w:val="0"/>
        <w:spacing w:line="360" w:lineRule="auto"/>
        <w:ind w:firstLine="396" w:firstLineChars="198"/>
        <w:textAlignment w:val="auto"/>
        <w:rPr>
          <w:rFonts w:hint="eastAsia"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lang w:val="en-US" w:eastAsia="zh-CN" w:bidi="ar-SA"/>
        </w:rPr>
        <w:t>（一）合同未尽事宜、由甲、乙双方协商，作为合同补充，与原合同具有同等法律效力。</w:t>
      </w:r>
    </w:p>
    <w:p w14:paraId="07D5A3D5">
      <w:pPr>
        <w:keepNext w:val="0"/>
        <w:keepLines w:val="0"/>
        <w:pageBreakBefore w:val="0"/>
        <w:wordWrap/>
        <w:overflowPunct/>
        <w:topLinePunct w:val="0"/>
        <w:bidi w:val="0"/>
        <w:adjustRightInd w:val="0"/>
        <w:snapToGrid w:val="0"/>
        <w:spacing w:line="360" w:lineRule="auto"/>
        <w:ind w:firstLine="396" w:firstLineChars="198"/>
        <w:textAlignment w:val="auto"/>
        <w:rPr>
          <w:rFonts w:hint="eastAsia"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lang w:val="en-US" w:eastAsia="zh-CN" w:bidi="ar-SA"/>
        </w:rPr>
        <w:t>（二）合同期限内，若因政策原因需调整相关合同条款事宜（不包括涉及合同金额的约定），经双方协商一致，可另行签订变更协议。</w:t>
      </w:r>
    </w:p>
    <w:p w14:paraId="013455AC">
      <w:pPr>
        <w:keepNext w:val="0"/>
        <w:keepLines w:val="0"/>
        <w:pageBreakBefore w:val="0"/>
        <w:wordWrap/>
        <w:overflowPunct/>
        <w:topLinePunct w:val="0"/>
        <w:bidi w:val="0"/>
        <w:adjustRightInd w:val="0"/>
        <w:snapToGrid w:val="0"/>
        <w:spacing w:line="360" w:lineRule="auto"/>
        <w:ind w:firstLine="396" w:firstLineChars="198"/>
        <w:textAlignment w:val="auto"/>
        <w:rPr>
          <w:rFonts w:hint="eastAsia"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lang w:val="en-US" w:eastAsia="zh-CN" w:bidi="ar-SA"/>
        </w:rPr>
        <w:t>（三）合同经甲乙双方法定代表人或授权代表签字并盖公章之日起生效。</w:t>
      </w:r>
    </w:p>
    <w:p w14:paraId="5D49BB39">
      <w:pPr>
        <w:keepNext w:val="0"/>
        <w:keepLines w:val="0"/>
        <w:pageBreakBefore w:val="0"/>
        <w:wordWrap/>
        <w:overflowPunct/>
        <w:topLinePunct w:val="0"/>
        <w:bidi w:val="0"/>
        <w:adjustRightInd w:val="0"/>
        <w:snapToGrid w:val="0"/>
        <w:spacing w:line="360" w:lineRule="auto"/>
        <w:ind w:firstLine="396" w:firstLineChars="198"/>
        <w:textAlignment w:val="auto"/>
        <w:rPr>
          <w:rFonts w:hint="eastAsia"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lang w:val="en-US" w:eastAsia="zh-CN" w:bidi="ar-SA"/>
        </w:rPr>
        <w:t>（四）甲乙方双方确认本合同尾部写明的地址和联系信息作为本合同下通知事项以及所涉债务/义务的催收和诉讼（仲裁）文书（包括但不限于起诉状（或仲裁申请书）及证据、传票、应诉通知书、举证通知书、开庭通知书、判决书（裁决书）、裁定书、调解书、执行通知书、限期履行通知书等诉讼审理以及执行阶段法律司法文书）送达地址和送达方式。</w:t>
      </w:r>
    </w:p>
    <w:p w14:paraId="7EA01336">
      <w:pPr>
        <w:keepNext w:val="0"/>
        <w:keepLines w:val="0"/>
        <w:pageBreakBefore w:val="0"/>
        <w:wordWrap/>
        <w:overflowPunct/>
        <w:topLinePunct w:val="0"/>
        <w:bidi w:val="0"/>
        <w:adjustRightInd w:val="0"/>
        <w:snapToGrid w:val="0"/>
        <w:spacing w:line="360" w:lineRule="auto"/>
        <w:ind w:firstLine="396" w:firstLineChars="198"/>
        <w:textAlignment w:val="auto"/>
        <w:rPr>
          <w:rFonts w:hint="eastAsia"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lang w:val="en-US" w:eastAsia="zh-CN" w:bidi="ar-SA"/>
        </w:rPr>
        <w:t>上述法律文书以本合同写明的任一方式送达到上述任一地址，均视为送达(指定代收人送达视为送达)。如上述送达地址和方式有变更的，一方应当提前十个工作日以书面方式通知另一方，因一方提供地址错误或未及时向其另一方进行地址变更通知而引起送达不能或引起的退函视为送达。</w:t>
      </w:r>
    </w:p>
    <w:p w14:paraId="71B42ADA">
      <w:pPr>
        <w:keepNext w:val="0"/>
        <w:keepLines w:val="0"/>
        <w:pageBreakBefore w:val="0"/>
        <w:wordWrap/>
        <w:overflowPunct/>
        <w:topLinePunct w:val="0"/>
        <w:bidi w:val="0"/>
        <w:adjustRightInd w:val="0"/>
        <w:snapToGrid w:val="0"/>
        <w:spacing w:line="360" w:lineRule="auto"/>
        <w:ind w:firstLine="396" w:firstLineChars="198"/>
        <w:textAlignment w:val="auto"/>
        <w:rPr>
          <w:rFonts w:hint="eastAsia" w:ascii="仿宋" w:hAnsi="仿宋" w:eastAsia="仿宋" w:cs="仿宋"/>
          <w:color w:val="auto"/>
          <w:sz w:val="20"/>
          <w:szCs w:val="20"/>
        </w:rPr>
      </w:pPr>
      <w:r>
        <w:rPr>
          <w:rFonts w:hint="eastAsia" w:ascii="仿宋" w:hAnsi="仿宋" w:eastAsia="仿宋" w:cs="仿宋"/>
          <w:color w:val="000000"/>
          <w:kern w:val="0"/>
          <w:sz w:val="20"/>
          <w:szCs w:val="20"/>
          <w:lang w:val="en-US" w:eastAsia="zh-CN" w:bidi="ar-SA"/>
        </w:rPr>
        <w:t>（以下无正文）</w:t>
      </w:r>
    </w:p>
    <w:tbl>
      <w:tblPr>
        <w:tblStyle w:val="4"/>
        <w:tblW w:w="0" w:type="auto"/>
        <w:jc w:val="center"/>
        <w:tblLayout w:type="fixed"/>
        <w:tblCellMar>
          <w:top w:w="0" w:type="dxa"/>
          <w:left w:w="108" w:type="dxa"/>
          <w:bottom w:w="0" w:type="dxa"/>
          <w:right w:w="108" w:type="dxa"/>
        </w:tblCellMar>
      </w:tblPr>
      <w:tblGrid>
        <w:gridCol w:w="4643"/>
        <w:gridCol w:w="4643"/>
      </w:tblGrid>
      <w:tr w14:paraId="7978D3AC">
        <w:tblPrEx>
          <w:tblCellMar>
            <w:top w:w="0" w:type="dxa"/>
            <w:left w:w="108" w:type="dxa"/>
            <w:bottom w:w="0" w:type="dxa"/>
            <w:right w:w="108" w:type="dxa"/>
          </w:tblCellMar>
        </w:tblPrEx>
        <w:trPr>
          <w:jc w:val="center"/>
        </w:trPr>
        <w:tc>
          <w:tcPr>
            <w:tcW w:w="4643" w:type="dxa"/>
            <w:noWrap w:val="0"/>
            <w:vAlign w:val="top"/>
          </w:tcPr>
          <w:p w14:paraId="34213FAA">
            <w:pPr>
              <w:adjustRightInd w:val="0"/>
              <w:snapToGrid w:val="0"/>
              <w:spacing w:line="360" w:lineRule="auto"/>
              <w:ind w:firstLine="645"/>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甲方名称（盖章）:</w:t>
            </w:r>
          </w:p>
          <w:p w14:paraId="7B4C9225">
            <w:pPr>
              <w:adjustRightInd w:val="0"/>
              <w:snapToGrid w:val="0"/>
              <w:spacing w:line="360" w:lineRule="auto"/>
              <w:ind w:firstLine="645"/>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地址：</w:t>
            </w:r>
          </w:p>
          <w:p w14:paraId="46B3023C">
            <w:pPr>
              <w:adjustRightInd w:val="0"/>
              <w:snapToGrid w:val="0"/>
              <w:spacing w:line="360" w:lineRule="auto"/>
              <w:ind w:firstLine="645"/>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法定代表人或委托代理人（签字</w:t>
            </w:r>
            <w:r>
              <w:rPr>
                <w:rFonts w:hint="eastAsia" w:ascii="仿宋" w:hAnsi="仿宋" w:eastAsia="仿宋" w:cs="仿宋"/>
                <w:color w:val="auto"/>
                <w:kern w:val="0"/>
                <w:sz w:val="20"/>
                <w:szCs w:val="20"/>
                <w:lang w:val="en-US" w:eastAsia="zh-CN"/>
              </w:rPr>
              <w:t>或盖章</w:t>
            </w:r>
            <w:r>
              <w:rPr>
                <w:rFonts w:hint="eastAsia" w:ascii="仿宋" w:hAnsi="仿宋" w:eastAsia="仿宋" w:cs="仿宋"/>
                <w:color w:val="auto"/>
                <w:kern w:val="0"/>
                <w:sz w:val="20"/>
                <w:szCs w:val="20"/>
              </w:rPr>
              <w:t>）：</w:t>
            </w:r>
          </w:p>
          <w:p w14:paraId="12D747EB">
            <w:pPr>
              <w:adjustRightInd w:val="0"/>
              <w:snapToGrid w:val="0"/>
              <w:spacing w:line="360" w:lineRule="auto"/>
              <w:ind w:firstLine="645"/>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电话：</w:t>
            </w:r>
          </w:p>
          <w:p w14:paraId="41FF0581">
            <w:pPr>
              <w:adjustRightInd w:val="0"/>
              <w:snapToGrid w:val="0"/>
              <w:spacing w:line="360" w:lineRule="auto"/>
              <w:ind w:firstLine="645"/>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开户银行：</w:t>
            </w:r>
          </w:p>
          <w:p w14:paraId="680E3DE7">
            <w:pPr>
              <w:adjustRightInd w:val="0"/>
              <w:snapToGrid w:val="0"/>
              <w:spacing w:line="360" w:lineRule="auto"/>
              <w:ind w:firstLine="645"/>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帐号：</w:t>
            </w:r>
          </w:p>
        </w:tc>
        <w:tc>
          <w:tcPr>
            <w:tcW w:w="4643" w:type="dxa"/>
            <w:noWrap w:val="0"/>
            <w:vAlign w:val="top"/>
          </w:tcPr>
          <w:p w14:paraId="3B645B85">
            <w:pPr>
              <w:adjustRightInd w:val="0"/>
              <w:snapToGrid w:val="0"/>
              <w:spacing w:line="360" w:lineRule="auto"/>
              <w:ind w:firstLine="645"/>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乙方名称（盖章）:</w:t>
            </w:r>
          </w:p>
          <w:p w14:paraId="64B32C44">
            <w:pPr>
              <w:adjustRightInd w:val="0"/>
              <w:snapToGrid w:val="0"/>
              <w:spacing w:line="360" w:lineRule="auto"/>
              <w:ind w:firstLine="645"/>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地址：</w:t>
            </w:r>
          </w:p>
          <w:p w14:paraId="2E68BB38">
            <w:pPr>
              <w:adjustRightInd w:val="0"/>
              <w:snapToGrid w:val="0"/>
              <w:spacing w:line="360" w:lineRule="auto"/>
              <w:ind w:firstLine="645"/>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法定代表人或委托代理人（签字</w:t>
            </w:r>
            <w:r>
              <w:rPr>
                <w:rFonts w:hint="eastAsia" w:ascii="仿宋" w:hAnsi="仿宋" w:eastAsia="仿宋" w:cs="仿宋"/>
                <w:color w:val="auto"/>
                <w:kern w:val="0"/>
                <w:sz w:val="20"/>
                <w:szCs w:val="20"/>
                <w:lang w:val="en-US" w:eastAsia="zh-CN"/>
              </w:rPr>
              <w:t>或盖章</w:t>
            </w:r>
            <w:r>
              <w:rPr>
                <w:rFonts w:hint="eastAsia" w:ascii="仿宋" w:hAnsi="仿宋" w:eastAsia="仿宋" w:cs="仿宋"/>
                <w:color w:val="auto"/>
                <w:kern w:val="0"/>
                <w:sz w:val="20"/>
                <w:szCs w:val="20"/>
              </w:rPr>
              <w:t>）：</w:t>
            </w:r>
          </w:p>
          <w:p w14:paraId="02CC77E1">
            <w:pPr>
              <w:adjustRightInd w:val="0"/>
              <w:snapToGrid w:val="0"/>
              <w:spacing w:line="360" w:lineRule="auto"/>
              <w:ind w:firstLine="645"/>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电话：</w:t>
            </w:r>
          </w:p>
          <w:p w14:paraId="27E65EF0">
            <w:pPr>
              <w:adjustRightInd w:val="0"/>
              <w:snapToGrid w:val="0"/>
              <w:spacing w:line="360" w:lineRule="auto"/>
              <w:ind w:firstLine="645"/>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开户银行：</w:t>
            </w:r>
          </w:p>
          <w:p w14:paraId="4ADFD70F">
            <w:pPr>
              <w:adjustRightInd w:val="0"/>
              <w:snapToGrid w:val="0"/>
              <w:spacing w:line="360" w:lineRule="auto"/>
              <w:ind w:firstLine="645"/>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帐号：</w:t>
            </w:r>
          </w:p>
        </w:tc>
      </w:tr>
    </w:tbl>
    <w:p w14:paraId="0493C477">
      <w:pPr>
        <w:spacing w:before="156" w:beforeLines="50" w:after="156" w:afterLines="50" w:line="360" w:lineRule="auto"/>
        <w:ind w:firstLine="402" w:firstLineChars="200"/>
        <w:rPr>
          <w:rFonts w:hint="eastAsia" w:ascii="仿宋" w:hAnsi="仿宋" w:eastAsia="仿宋" w:cs="仿宋"/>
          <w:lang w:val="en-US" w:eastAsia="zh-Hans"/>
        </w:rPr>
      </w:pPr>
      <w:r>
        <w:rPr>
          <w:rFonts w:hint="eastAsia" w:ascii="仿宋" w:hAnsi="仿宋" w:eastAsia="仿宋" w:cs="仿宋"/>
          <w:b/>
          <w:bCs/>
          <w:color w:val="auto"/>
          <w:sz w:val="20"/>
          <w:szCs w:val="20"/>
        </w:rPr>
        <w:t>注：甲乙双方正式签订合同时根据协商完善相关内容</w:t>
      </w:r>
    </w:p>
    <w:p w14:paraId="7D61ECA9">
      <w:bookmarkStart w:id="1" w:name="_GoBack"/>
      <w:bookmarkEnd w:id="1"/>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7CC266">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9164795">
                          <w:pPr>
                            <w:pStyle w:val="3"/>
                          </w:pPr>
                          <w:r>
                            <w:fldChar w:fldCharType="begin"/>
                          </w:r>
                          <w:r>
                            <w:instrText xml:space="preserve"> PAGE  \* MERGEFORMAT </w:instrText>
                          </w:r>
                          <w:r>
                            <w:fldChar w:fldCharType="separate"/>
                          </w:r>
                          <w:r>
                            <w:t>61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59164795">
                    <w:pPr>
                      <w:pStyle w:val="3"/>
                    </w:pPr>
                    <w:r>
                      <w:fldChar w:fldCharType="begin"/>
                    </w:r>
                    <w:r>
                      <w:instrText xml:space="preserve"> PAGE  \* MERGEFORMAT </w:instrText>
                    </w:r>
                    <w:r>
                      <w:fldChar w:fldCharType="separate"/>
                    </w:r>
                    <w:r>
                      <w:t>61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11B06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pPr>
  </w:style>
  <w:style w:type="paragraph" w:styleId="3">
    <w:name w:val="footer"/>
    <w:basedOn w:val="1"/>
    <w:qFormat/>
    <w:uiPriority w:val="0"/>
    <w:pPr>
      <w:tabs>
        <w:tab w:val="center" w:pos="4153"/>
        <w:tab w:val="right" w:pos="8306"/>
      </w:tabs>
      <w:snapToGrid w:val="0"/>
      <w:jc w:val="left"/>
    </w:pPr>
    <w:rPr>
      <w:sz w:val="18"/>
    </w:rPr>
  </w:style>
  <w:style w:type="paragraph" w:customStyle="1" w:styleId="6">
    <w:name w:val="null3"/>
    <w:hidden/>
    <w:qFormat/>
    <w:uiPriority w:val="0"/>
    <w:rPr>
      <w:rFonts w:hint="eastAsia" w:asciiTheme="minorHAnsi" w:hAnsiTheme="minorHAnsi" w:eastAsiaTheme="minorEastAsia" w:cstheme="minorBidi"/>
      <w:lang w:val="en-US" w:eastAsia="zh-Hans"/>
    </w:rPr>
  </w:style>
  <w:style w:type="paragraph" w:customStyle="1" w:styleId="7">
    <w:name w:val="正文缩进1"/>
    <w:qFormat/>
    <w:uiPriority w:val="0"/>
    <w:pPr>
      <w:widowControl w:val="0"/>
      <w:ind w:firstLine="420" w:firstLineChars="200"/>
      <w:jc w:val="both"/>
    </w:pPr>
    <w:rPr>
      <w:rFonts w:ascii="Calibri" w:hAnsi="Calibri" w:eastAsia="宋体" w:cs="Times New Roman"/>
      <w:kern w:val="2"/>
      <w:sz w:val="28"/>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2025-11-13T08:55:12Z</dcterms:created>
  <dc:creator>Administrator</dc:creator>
  <cp:lastModifiedBy>宋璟雯</cp:lastModifiedBy>
  <dcterms:modified xsi:type="dcterms:W3CDTF">2025-11-13T08:55:36Z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eyJoZGlkIjoiN2Y4YWYxYmQzZjI4NzUxZmYwNzczZWM3MmVlZTM0MGQiLCJ1c2VySWQiOiIxNDUxODIyODU0In0=</vt:lpwstr>
  </property>
  <property fmtid="{D5CDD505-2E9C-101B-9397-08002B2CF9AE}" pid="4" name="ICV">
    <vt:lpwstr>A5CA52AA459B46799054380708FD965C_12</vt:lpwstr>
  </property>
</Properties>
</file>