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版本号：SXYFX2025-10020251113001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陕西省无线电管理“十五五”规划编制支持服务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SXYFX2025-100</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陕西源丰成工程项目管理有限公司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陕西源丰成工程项目管理有限公司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陕西省无线电管理“十五五”规划编制支持服务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SXYFX2025-100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陕西省无线电管理“十五五”规划编制支持服务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十四五”期间，陕西省无线电管理机构深入贯彻“三管理、三服务、一突出”的总体要求，全面提升频谱资源开发利用和电磁空间保障能力，推动我省无线电管理事业融入经济社会发展大局，在赋能新型工业化、发展新质生产力，支撑制造强国、网络强国、航天强国建设，推动无线电事业高质量发展等方面发挥了重要作用。 “十五五”时期，是我国全面建设社会主义现代化国家、向第二个百年奋斗目标进军的第二个五年。无线电频谱资源成为推进制造强国、航天强国、交通强国、网络强国、数字中国及新型工业化建设的关键要素。为适应国内外新的形势变化，积极应对新时代的挑战与迎接新发展机遇，亟需开展“十四五”陕西省无线电管理和发展规划终期评估及“十五五”规划编制工作，科学管理频谱资源，筑牢电磁空间安全屏障，推动和保障无线电事业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2、法定代表人授权书及被授权人身份证：法定代表人授权书、被授权人身份证及授权代表在本单位的社保缴纳证明（法定代表人直接参与，只须提交其身份证明）</w:t>
      </w:r>
    </w:p>
    <w:p>
      <w:pPr>
        <w:pStyle w:val="null3"/>
      </w:pPr>
      <w:r>
        <w:rPr>
          <w:rFonts w:ascii="仿宋_GB2312" w:hAnsi="仿宋_GB2312" w:cs="仿宋_GB2312" w:eastAsia="仿宋_GB2312"/>
        </w:rPr>
        <w:t>3、说明及承诺：具备履行合同所必须的设备和专业技术能力的说明及承诺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6、税收缴纳证明：税收缴纳证明：供应商提供已缴纳的2025年1月至今至少一个月的纳税证明或完税证明（任意税种）；依法免税的单位应提供相关文件证明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10、供应商企业关系关联承诺书：单位负责人为同一人或者存在控股、管理关系的不同单位不得同时投标（提供供应商企业关系关联承诺书）</w:t>
      </w:r>
    </w:p>
    <w:p>
      <w:pPr>
        <w:pStyle w:val="null3"/>
      </w:pPr>
      <w:r>
        <w:rPr>
          <w:rFonts w:ascii="仿宋_GB2312" w:hAnsi="仿宋_GB2312" w:cs="仿宋_GB2312" w:eastAsia="仿宋_GB2312"/>
        </w:rPr>
        <w:t>11、磋商保证金：磋商保证金交纳凭证（附开户许可证或基本账户存款信息）</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陕西源丰成工程项目管理有限公司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029-88229046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开户名称：陕西源丰成工程项目管理有限公司</w:t>
            </w:r>
          </w:p>
          <w:p>
            <w:pPr>
              <w:pStyle w:val="null3"/>
            </w:pPr>
            <w:r>
              <w:rPr>
                <w:rFonts w:ascii="仿宋_GB2312" w:hAnsi="仿宋_GB2312" w:cs="仿宋_GB2312" w:eastAsia="仿宋_GB2312"/>
              </w:rPr>
              <w:t>开户银行：交通银行西安唐延路支行</w:t>
            </w:r>
          </w:p>
          <w:p>
            <w:pPr>
              <w:pStyle w:val="null3"/>
            </w:pPr>
            <w:r>
              <w:rPr>
                <w:rFonts w:ascii="仿宋_GB2312" w:hAnsi="仿宋_GB2312" w:cs="仿宋_GB2312" w:eastAsia="仿宋_GB2312"/>
              </w:rPr>
              <w:t>银行账号：6113 0107 2013 0000 59267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代理服务费收费标准：中标人在领取中标通知书时，向陕西源丰成工程项目管理有限公司交纳招标代理服务费。服务费收费标准参照原《国家计委关于印发&lt;招标代理服务收费管理暂行办法&gt;的通知》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户名：陕西源丰成工程项目管理有限公司 账号：6113 0107 2013 0000 59267 开户行：交通银行西安唐延路支行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陕西源丰成工程项目管理有限公司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陕西源丰成工程项目管理有限公司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陕西源丰成工程项目管理有限公司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陕西源丰成工程项目管理有限公司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陕西源丰成工程项目管理有限公司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陕西源丰成工程项目管理有限公司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联系电话：029-88229046</w:t>
      </w:r>
    </w:p>
    <w:p>
      <w:pPr>
        <w:pStyle w:val="null3"/>
      </w:pPr>
      <w:r>
        <w:rPr>
          <w:rFonts w:ascii="仿宋_GB2312" w:hAnsi="仿宋_GB2312" w:cs="仿宋_GB2312" w:eastAsia="仿宋_GB2312"/>
        </w:rPr>
        <w:t>地址：西安市经济开发区凤城十一路与文景路十字西北角文景广场C座1201室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十四五”期间，陕西省无线电管理机构深入贯彻“三管理、三服务、一突出”的总体要求，全面提升频谱资源开发利用和电磁空间保障能力，推动我省无线电管理事业融入经济社会发展大局，在赋能新型工业化、发展新质生产力，支撑制造强国、网络强国、航天强国建设，推动无线电事业高质量发展等方面发挥了重要作用。 “十五五”时期，是我国全面建设社会主义现代化国家、向第二个百年奋斗目标进军的第二个五年。无线电频谱资源成为推进制造强国、航天强国、交通强国、网络强国、数字中国及新型工业化建设的关键要素。为适应国内外新的形势变化，积极应对新时代的挑战与迎接新发展机遇，亟需开展“十四五”陕西省无线电管理和发展规划终期评估及“十五五”规划编制工作，科学管理频谱资源，筑牢电磁空间安全屏障，推动和保障无线电事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陕西省无线电管理“十五五”规划编制支持服务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标的名称：陕西省无线电管理“十五五”规划编制支持服务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一、项目技术、服务</w:t>
            </w:r>
          </w:p>
          <w:p>
            <w:pPr>
              <w:pStyle w:val="null3"/>
              <w:jc w:val="both"/>
            </w:pPr>
            <w:r>
              <w:rPr>
                <w:rFonts w:ascii="仿宋_GB2312" w:hAnsi="仿宋_GB2312" w:cs="仿宋_GB2312" w:eastAsia="仿宋_GB2312"/>
                <w:sz w:val="20"/>
                <w:b/>
              </w:rPr>
              <w:t>（一）项目名称：</w:t>
            </w:r>
            <w:r>
              <w:rPr>
                <w:rFonts w:ascii="仿宋_GB2312" w:hAnsi="仿宋_GB2312" w:cs="仿宋_GB2312" w:eastAsia="仿宋_GB2312"/>
                <w:sz w:val="20"/>
              </w:rPr>
              <w:t>陕西省无线电管理</w:t>
            </w:r>
            <w:r>
              <w:rPr>
                <w:rFonts w:ascii="仿宋_GB2312" w:hAnsi="仿宋_GB2312" w:cs="仿宋_GB2312" w:eastAsia="仿宋_GB2312"/>
                <w:sz w:val="20"/>
              </w:rPr>
              <w:t>“十五五”规划编制支持服务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（二）项目概况：</w:t>
            </w:r>
          </w:p>
          <w:p>
            <w:pPr>
              <w:pStyle w:val="null3"/>
              <w:ind w:firstLine="400"/>
              <w:jc w:val="both"/>
            </w:pPr>
            <w:r>
              <w:rPr>
                <w:rFonts w:ascii="仿宋_GB2312" w:hAnsi="仿宋_GB2312" w:cs="仿宋_GB2312" w:eastAsia="仿宋_GB2312"/>
                <w:sz w:val="20"/>
              </w:rPr>
              <w:t>“十四五”期间，陕西省无线电管理机构深入贯彻“三管理、三服务、一突出”的总体要求，全面提升频谱资源开发利用和电磁空间保障能力，推动我省无线电管理事业融入经济社会发展大局，在赋能新型工业化、发展新质生产力，支撑制造强国、网络强国、航天强国建设，推动无线电事业高质量发展等方面发挥了重要作用。</w:t>
            </w:r>
          </w:p>
          <w:p>
            <w:pPr>
              <w:pStyle w:val="null3"/>
              <w:ind w:firstLine="400"/>
              <w:jc w:val="both"/>
            </w:pPr>
            <w:r>
              <w:rPr>
                <w:rFonts w:ascii="仿宋_GB2312" w:hAnsi="仿宋_GB2312" w:cs="仿宋_GB2312" w:eastAsia="仿宋_GB2312"/>
                <w:sz w:val="20"/>
              </w:rPr>
              <w:t>“十五五”时期，是我国全面建设社会主义现代化国家、向第二个百年奋斗目标进军的第二个五年。无线电频谱资源成为推进制造强国、航天强国、交通强国、网络强国、数字中国及新型工业化建设的关键要素。为适应国内外新的形势变化，积极应对新时代的挑战与迎接新发展机遇，亟需开展“十四五”陕西省无线电管理和发展规划终期评估及“十五五”规划编制工作，科学管理频谱资源，筑牢电磁空间安全屏障，推动和保障无线电事业高质量发展。</w:t>
            </w:r>
          </w:p>
          <w:p>
            <w:pPr>
              <w:pStyle w:val="null3"/>
              <w:jc w:val="both"/>
            </w:pPr>
            <w:r>
              <w:rPr>
                <w:rFonts w:ascii="仿宋_GB2312" w:hAnsi="仿宋_GB2312" w:cs="仿宋_GB2312" w:eastAsia="仿宋_GB2312"/>
                <w:sz w:val="20"/>
                <w:b/>
              </w:rPr>
              <w:t>（三）服务内容</w:t>
            </w:r>
          </w:p>
          <w:p>
            <w:pPr>
              <w:pStyle w:val="null3"/>
              <w:ind w:firstLine="400"/>
              <w:jc w:val="both"/>
            </w:pPr>
            <w:r>
              <w:rPr>
                <w:rFonts w:ascii="仿宋_GB2312" w:hAnsi="仿宋_GB2312" w:cs="仿宋_GB2312" w:eastAsia="仿宋_GB2312"/>
                <w:sz w:val="20"/>
              </w:rPr>
              <w:t>以国家无线电频谱中长期规划为引领，充分掌握</w:t>
            </w:r>
            <w:r>
              <w:rPr>
                <w:rFonts w:ascii="仿宋_GB2312" w:hAnsi="仿宋_GB2312" w:cs="仿宋_GB2312" w:eastAsia="仿宋_GB2312"/>
                <w:sz w:val="20"/>
              </w:rPr>
              <w:t>“十五五”国家无线电管理和发展规划工作要求，学深悟透总书记关于新型工业化的重要论述，准确把握无线电管理工作的新形势、新要求和重点任务，结合陕西省无线电管理工作实际，扎实开展“十四五”陕西省无线电管理和发展规划终期评估及陕西省无线电管理和发展“十五五”规划编制工作。</w:t>
            </w:r>
          </w:p>
          <w:p>
            <w:pPr>
              <w:pStyle w:val="null3"/>
              <w:ind w:firstLine="400"/>
              <w:jc w:val="both"/>
            </w:pPr>
            <w:r>
              <w:rPr>
                <w:rFonts w:ascii="仿宋_GB2312" w:hAnsi="仿宋_GB2312" w:cs="仿宋_GB2312" w:eastAsia="仿宋_GB2312"/>
                <w:sz w:val="20"/>
              </w:rPr>
              <w:t>1.“十四五”陕西省无线电管理和发展规划终期评估</w:t>
            </w:r>
          </w:p>
          <w:p>
            <w:pPr>
              <w:pStyle w:val="null3"/>
              <w:jc w:val="both"/>
            </w:pPr>
            <w:r>
              <w:rPr>
                <w:rFonts w:ascii="仿宋_GB2312" w:hAnsi="仿宋_GB2312" w:cs="仿宋_GB2312" w:eastAsia="仿宋_GB2312"/>
                <w:sz w:val="20"/>
              </w:rPr>
              <w:t>一是根据国家</w:t>
            </w:r>
            <w:r>
              <w:rPr>
                <w:rFonts w:ascii="仿宋_GB2312" w:hAnsi="仿宋_GB2312" w:cs="仿宋_GB2312" w:eastAsia="仿宋_GB2312"/>
                <w:sz w:val="20"/>
              </w:rPr>
              <w:t>“十四五”规划的任务和目标，结合国家对地方省市无线电管理机构的任务要求和我省无线电管理工作开展情况，梳理陕西省落实国家规划评估的主要内容、要点。二是对“十四五”陕西省无线电管理和发展规划进行全面回顾分析，评估“十四五”期间全省无线电管理工作主要目标完成情况，梳理“十四五”以来取得的成效，总结规划实施过程中的成功经验和主要问题，形成《〈“十四五”陕西省无线电管理和发展规划〉终期评估报告》，用于指导《陕西省无线电管理和发展“十五五”规划》编制工作。</w:t>
            </w:r>
          </w:p>
          <w:p>
            <w:pPr>
              <w:pStyle w:val="null3"/>
              <w:ind w:firstLine="400"/>
              <w:jc w:val="both"/>
            </w:pPr>
            <w:r>
              <w:rPr>
                <w:rFonts w:ascii="仿宋_GB2312" w:hAnsi="仿宋_GB2312" w:cs="仿宋_GB2312" w:eastAsia="仿宋_GB2312"/>
                <w:sz w:val="20"/>
              </w:rPr>
              <w:t>2.陕西省无线电管理和发展“十五五”规划编制</w:t>
            </w:r>
          </w:p>
          <w:p>
            <w:pPr>
              <w:pStyle w:val="null3"/>
              <w:jc w:val="both"/>
            </w:pPr>
            <w:r>
              <w:rPr>
                <w:rFonts w:ascii="仿宋_GB2312" w:hAnsi="仿宋_GB2312" w:cs="仿宋_GB2312" w:eastAsia="仿宋_GB2312"/>
                <w:sz w:val="20"/>
              </w:rPr>
              <w:t>根据国家无线电频谱中长期规划，结合国家无线电管理和发展</w:t>
            </w:r>
            <w:r>
              <w:rPr>
                <w:rFonts w:ascii="仿宋_GB2312" w:hAnsi="仿宋_GB2312" w:cs="仿宋_GB2312" w:eastAsia="仿宋_GB2312"/>
                <w:sz w:val="20"/>
              </w:rPr>
              <w:t>“十五五”规划工作要求，联系陕西省无线电管理工作实际，采取实地调研、专家论证等方式进行深入研究，全面分析“十五五”面临形势、主要目标、主要任务和保障措施等内容，编制《陕西省无线电管理和发展“十五五”规划》，更好助力陕西省经济社会发展。</w:t>
            </w:r>
          </w:p>
          <w:p>
            <w:pPr>
              <w:pStyle w:val="null3"/>
              <w:jc w:val="both"/>
            </w:pPr>
            <w:r>
              <w:rPr>
                <w:rFonts w:ascii="仿宋_GB2312" w:hAnsi="仿宋_GB2312" w:cs="仿宋_GB2312" w:eastAsia="仿宋_GB2312"/>
                <w:sz w:val="20"/>
                <w:b/>
              </w:rPr>
              <w:t>（四）工作成果</w:t>
            </w:r>
          </w:p>
          <w:p>
            <w:pPr>
              <w:pStyle w:val="null3"/>
              <w:ind w:firstLine="400"/>
              <w:jc w:val="both"/>
            </w:pPr>
            <w:r>
              <w:rPr>
                <w:rFonts w:ascii="仿宋_GB2312" w:hAnsi="仿宋_GB2312" w:cs="仿宋_GB2312" w:eastAsia="仿宋_GB2312"/>
                <w:sz w:val="20"/>
              </w:rPr>
              <w:t>通过深入调研、科学分析和广泛征求意见，编制完成《〈</w:t>
            </w:r>
            <w:r>
              <w:rPr>
                <w:rFonts w:ascii="仿宋_GB2312" w:hAnsi="仿宋_GB2312" w:cs="仿宋_GB2312" w:eastAsia="仿宋_GB2312"/>
                <w:sz w:val="20"/>
              </w:rPr>
              <w:t>“十四五”陕西省无线电管理和发展规划〉终期评估报告》《陕西省无线电管理和发展“十五五”规划》。</w:t>
            </w:r>
          </w:p>
          <w:p>
            <w:pPr>
              <w:pStyle w:val="null3"/>
              <w:jc w:val="both"/>
            </w:pPr>
            <w:r>
              <w:rPr>
                <w:rFonts w:ascii="仿宋_GB2312" w:hAnsi="仿宋_GB2312" w:cs="仿宋_GB2312" w:eastAsia="仿宋_GB2312"/>
                <w:sz w:val="20"/>
                <w:b/>
              </w:rPr>
              <w:t>（五）服务要求</w:t>
            </w:r>
          </w:p>
          <w:p>
            <w:pPr>
              <w:pStyle w:val="null3"/>
              <w:ind w:firstLine="400"/>
              <w:jc w:val="both"/>
            </w:pPr>
            <w:r>
              <w:rPr>
                <w:rFonts w:ascii="仿宋_GB2312" w:hAnsi="仿宋_GB2312" w:cs="仿宋_GB2312" w:eastAsia="仿宋_GB2312"/>
                <w:sz w:val="20"/>
              </w:rPr>
              <w:t>1.成果交付要求</w:t>
            </w:r>
          </w:p>
          <w:p>
            <w:pPr>
              <w:pStyle w:val="null3"/>
              <w:ind w:firstLine="400"/>
              <w:jc w:val="both"/>
            </w:pPr>
            <w:r>
              <w:rPr>
                <w:rFonts w:ascii="仿宋_GB2312" w:hAnsi="仿宋_GB2312" w:cs="仿宋_GB2312" w:eastAsia="仿宋_GB2312"/>
                <w:sz w:val="20"/>
              </w:rPr>
              <w:t>成果文件以采购人实际要求为准。成交供应商应通过专家评审方式对工作成果进行验收，以确保项目完成质量。评审费由成交供应商承担。</w:t>
            </w:r>
          </w:p>
          <w:p>
            <w:pPr>
              <w:pStyle w:val="null3"/>
              <w:ind w:firstLine="400"/>
              <w:jc w:val="both"/>
            </w:pPr>
            <w:r>
              <w:rPr>
                <w:rFonts w:ascii="仿宋_GB2312" w:hAnsi="仿宋_GB2312" w:cs="仿宋_GB2312" w:eastAsia="仿宋_GB2312"/>
                <w:sz w:val="20"/>
              </w:rPr>
              <w:t>2.项目完成时间</w:t>
            </w:r>
          </w:p>
          <w:p>
            <w:pPr>
              <w:pStyle w:val="null3"/>
              <w:ind w:firstLine="400"/>
              <w:jc w:val="both"/>
            </w:pPr>
            <w:r>
              <w:rPr>
                <w:rFonts w:ascii="仿宋_GB2312" w:hAnsi="仿宋_GB2312" w:cs="仿宋_GB2312" w:eastAsia="仿宋_GB2312"/>
                <w:sz w:val="20"/>
              </w:rPr>
              <w:t>成交供应商应在合同签订后十二个月内提交项目成果，并配合甲方开展后续项目验收工作，具体验收时间由甲方安排。</w:t>
            </w:r>
          </w:p>
          <w:p>
            <w:pPr>
              <w:pStyle w:val="null3"/>
              <w:jc w:val="both"/>
            </w:pPr>
            <w:r>
              <w:rPr>
                <w:rFonts w:ascii="仿宋_GB2312" w:hAnsi="仿宋_GB2312" w:cs="仿宋_GB2312" w:eastAsia="仿宋_GB2312"/>
                <w:sz w:val="20"/>
                <w:b/>
              </w:rPr>
              <w:t>二、商务及其他要求</w:t>
            </w:r>
          </w:p>
          <w:p>
            <w:pPr>
              <w:pStyle w:val="null3"/>
              <w:jc w:val="both"/>
            </w:pPr>
            <w:r>
              <w:rPr>
                <w:rFonts w:ascii="仿宋_GB2312" w:hAnsi="仿宋_GB2312" w:cs="仿宋_GB2312" w:eastAsia="仿宋_GB2312"/>
                <w:sz w:val="20"/>
                <w:b/>
              </w:rPr>
              <w:t>（一）质量要求：</w:t>
            </w:r>
            <w:r>
              <w:rPr>
                <w:rFonts w:ascii="仿宋_GB2312" w:hAnsi="仿宋_GB2312" w:cs="仿宋_GB2312" w:eastAsia="仿宋_GB2312"/>
                <w:sz w:val="20"/>
              </w:rPr>
              <w:t>符合国家和地方相关规范和行业标准要求。</w:t>
            </w:r>
          </w:p>
          <w:p>
            <w:pPr>
              <w:pStyle w:val="null3"/>
              <w:jc w:val="both"/>
            </w:pPr>
            <w:r>
              <w:rPr>
                <w:rFonts w:ascii="仿宋_GB2312" w:hAnsi="仿宋_GB2312" w:cs="仿宋_GB2312" w:eastAsia="仿宋_GB2312"/>
                <w:sz w:val="20"/>
                <w:b/>
              </w:rPr>
              <w:t>（二）服务期：</w:t>
            </w:r>
            <w:r>
              <w:rPr>
                <w:rFonts w:ascii="仿宋_GB2312" w:hAnsi="仿宋_GB2312" w:cs="仿宋_GB2312" w:eastAsia="仿宋_GB2312"/>
                <w:sz w:val="20"/>
                <w:b/>
              </w:rPr>
              <w:t>成交供应商应在合同签订后十二个月内提交项目成果，并配合甲方开展后续项目验收工作，具体验收时间由甲方安排。</w:t>
            </w:r>
          </w:p>
          <w:p>
            <w:pPr>
              <w:pStyle w:val="null3"/>
              <w:jc w:val="both"/>
            </w:pPr>
            <w:r>
              <w:rPr>
                <w:rFonts w:ascii="仿宋_GB2312" w:hAnsi="仿宋_GB2312" w:cs="仿宋_GB2312" w:eastAsia="仿宋_GB2312"/>
                <w:sz w:val="20"/>
                <w:b/>
              </w:rPr>
              <w:t>（三）合同价款：</w:t>
            </w:r>
          </w:p>
          <w:p>
            <w:pPr>
              <w:pStyle w:val="null3"/>
              <w:ind w:firstLine="240"/>
              <w:jc w:val="both"/>
            </w:pPr>
            <w:r>
              <w:rPr>
                <w:rFonts w:ascii="仿宋_GB2312" w:hAnsi="仿宋_GB2312" w:cs="仿宋_GB2312" w:eastAsia="仿宋_GB2312"/>
                <w:sz w:val="20"/>
              </w:rPr>
              <w:t>3.1合同总价包括：项目实施费及其他费用等从项目实施至验收合格等所有其他有关各项的含税费用。</w:t>
            </w:r>
          </w:p>
          <w:p>
            <w:pPr>
              <w:pStyle w:val="null3"/>
              <w:ind w:firstLine="240"/>
              <w:jc w:val="both"/>
            </w:pPr>
            <w:r>
              <w:rPr>
                <w:rFonts w:ascii="仿宋_GB2312" w:hAnsi="仿宋_GB2312" w:cs="仿宋_GB2312" w:eastAsia="仿宋_GB2312"/>
                <w:sz w:val="20"/>
              </w:rPr>
              <w:t>3.2合同总价一次包死，不受市场价格、工作量变化等其它因素的影响。</w:t>
            </w:r>
          </w:p>
          <w:p>
            <w:pPr>
              <w:pStyle w:val="null3"/>
              <w:jc w:val="both"/>
            </w:pPr>
            <w:r>
              <w:rPr>
                <w:rFonts w:ascii="仿宋_GB2312" w:hAnsi="仿宋_GB2312" w:cs="仿宋_GB2312" w:eastAsia="仿宋_GB2312"/>
                <w:sz w:val="20"/>
                <w:b/>
              </w:rPr>
              <w:t>（四）付款方式：</w:t>
            </w:r>
          </w:p>
          <w:p>
            <w:pPr>
              <w:pStyle w:val="null3"/>
              <w:ind w:firstLine="240"/>
              <w:jc w:val="both"/>
            </w:pPr>
            <w:r>
              <w:rPr>
                <w:rFonts w:ascii="仿宋_GB2312" w:hAnsi="仿宋_GB2312" w:cs="仿宋_GB2312" w:eastAsia="仿宋_GB2312"/>
                <w:sz w:val="20"/>
              </w:rPr>
              <w:t>4.1、</w:t>
            </w:r>
            <w:r>
              <w:rPr>
                <w:rFonts w:ascii="仿宋_GB2312" w:hAnsi="仿宋_GB2312" w:cs="仿宋_GB2312" w:eastAsia="仿宋_GB2312"/>
                <w:sz w:val="20"/>
                <w:b/>
              </w:rPr>
              <w:t>付款方式：</w:t>
            </w:r>
            <w:r>
              <w:rPr>
                <w:rFonts w:ascii="仿宋_GB2312" w:hAnsi="仿宋_GB2312" w:cs="仿宋_GB2312" w:eastAsia="仿宋_GB2312"/>
                <w:sz w:val="20"/>
              </w:rPr>
              <w:t>1）合同签订后十个工作日内，成交供应商向采购人出具的银行保函（保函金额合同签署前由采购人确定，保函有效期截止时间为本项目验收合格后满六个月）；</w:t>
            </w:r>
          </w:p>
          <w:p>
            <w:pPr>
              <w:pStyle w:val="null3"/>
              <w:ind w:firstLine="240"/>
              <w:jc w:val="both"/>
            </w:pPr>
            <w:r>
              <w:rPr>
                <w:rFonts w:ascii="仿宋_GB2312" w:hAnsi="仿宋_GB2312" w:cs="仿宋_GB2312" w:eastAsia="仿宋_GB2312"/>
                <w:sz w:val="20"/>
              </w:rPr>
              <w:t>（</w:t>
            </w:r>
            <w:r>
              <w:rPr>
                <w:rFonts w:ascii="仿宋_GB2312" w:hAnsi="仿宋_GB2312" w:cs="仿宋_GB2312" w:eastAsia="仿宋_GB2312"/>
                <w:sz w:val="20"/>
              </w:rPr>
              <w:t>2）采购人收到成交供应商合格银行保函后支付全部合同总价款；</w:t>
            </w:r>
          </w:p>
          <w:p>
            <w:pPr>
              <w:pStyle w:val="null3"/>
              <w:ind w:firstLine="240"/>
              <w:jc w:val="both"/>
            </w:pPr>
            <w:r>
              <w:rPr>
                <w:rFonts w:ascii="仿宋_GB2312" w:hAnsi="仿宋_GB2312" w:cs="仿宋_GB2312" w:eastAsia="仿宋_GB2312"/>
                <w:sz w:val="20"/>
              </w:rPr>
              <w:t>（</w:t>
            </w:r>
            <w:r>
              <w:rPr>
                <w:rFonts w:ascii="仿宋_GB2312" w:hAnsi="仿宋_GB2312" w:cs="仿宋_GB2312" w:eastAsia="仿宋_GB2312"/>
                <w:sz w:val="20"/>
              </w:rPr>
              <w:t>3）成交供应商承诺在采购人办理支付手续前，为采购人出具等额的符合国家规定的发票；</w:t>
            </w:r>
          </w:p>
          <w:p>
            <w:pPr>
              <w:pStyle w:val="null3"/>
              <w:ind w:firstLine="240"/>
              <w:jc w:val="both"/>
            </w:pPr>
            <w:r>
              <w:rPr>
                <w:rFonts w:ascii="仿宋_GB2312" w:hAnsi="仿宋_GB2312" w:cs="仿宋_GB2312" w:eastAsia="仿宋_GB2312"/>
                <w:sz w:val="20"/>
              </w:rPr>
              <w:t>（</w:t>
            </w:r>
            <w:r>
              <w:rPr>
                <w:rFonts w:ascii="仿宋_GB2312" w:hAnsi="仿宋_GB2312" w:cs="仿宋_GB2312" w:eastAsia="仿宋_GB2312"/>
                <w:sz w:val="20"/>
              </w:rPr>
              <w:t>4)上述时间不包括采购人正常办理支付报批手续的时间。</w:t>
            </w:r>
          </w:p>
          <w:p>
            <w:pPr>
              <w:pStyle w:val="null3"/>
              <w:ind w:firstLine="240"/>
              <w:jc w:val="both"/>
            </w:pPr>
            <w:r>
              <w:rPr>
                <w:rFonts w:ascii="仿宋_GB2312" w:hAnsi="仿宋_GB2312" w:cs="仿宋_GB2312" w:eastAsia="仿宋_GB2312"/>
                <w:sz w:val="20"/>
              </w:rPr>
              <w:t>4.2、结算方式：采购人与成交供应商直接结算，发票直开采购人。</w:t>
            </w:r>
          </w:p>
          <w:p>
            <w:pPr>
              <w:pStyle w:val="null3"/>
              <w:ind w:firstLine="240"/>
              <w:jc w:val="both"/>
            </w:pPr>
            <w:r>
              <w:rPr>
                <w:rFonts w:ascii="仿宋_GB2312" w:hAnsi="仿宋_GB2312" w:cs="仿宋_GB2312" w:eastAsia="仿宋_GB2312"/>
                <w:sz w:val="20"/>
              </w:rPr>
              <w:t>4.3、支付方式：银行转账。</w:t>
            </w:r>
          </w:p>
          <w:p>
            <w:pPr>
              <w:pStyle w:val="null3"/>
              <w:jc w:val="both"/>
            </w:pPr>
            <w:r>
              <w:rPr>
                <w:rFonts w:ascii="仿宋_GB2312" w:hAnsi="仿宋_GB2312" w:cs="仿宋_GB2312" w:eastAsia="仿宋_GB2312"/>
                <w:sz w:val="20"/>
                <w:b/>
              </w:rPr>
              <w:t>（五）项目检验与验收</w:t>
            </w:r>
          </w:p>
          <w:p>
            <w:pPr>
              <w:pStyle w:val="null3"/>
              <w:ind w:firstLine="240"/>
              <w:jc w:val="both"/>
            </w:pPr>
            <w:r>
              <w:rPr>
                <w:rFonts w:ascii="仿宋_GB2312" w:hAnsi="仿宋_GB2312" w:cs="仿宋_GB2312" w:eastAsia="仿宋_GB2312"/>
                <w:sz w:val="20"/>
              </w:rPr>
              <w:t>5.1、成交供应商向采购人提交项目实施过程中的所有资料。</w:t>
            </w:r>
          </w:p>
          <w:p>
            <w:pPr>
              <w:pStyle w:val="null3"/>
              <w:ind w:firstLine="240"/>
              <w:jc w:val="both"/>
            </w:pPr>
            <w:r>
              <w:rPr>
                <w:rFonts w:ascii="仿宋_GB2312" w:hAnsi="仿宋_GB2312" w:cs="仿宋_GB2312" w:eastAsia="仿宋_GB2312"/>
                <w:sz w:val="20"/>
              </w:rPr>
              <w:t>5.2、验收须以合同、竞争性磋商文件及竞争性磋商响应文件、澄清、及国家相应的标准、规范等为依据。</w:t>
            </w:r>
          </w:p>
          <w:p>
            <w:pPr>
              <w:pStyle w:val="null3"/>
              <w:jc w:val="both"/>
            </w:pPr>
            <w:r>
              <w:rPr>
                <w:rFonts w:ascii="仿宋_GB2312" w:hAnsi="仿宋_GB2312" w:cs="仿宋_GB2312" w:eastAsia="仿宋_GB2312"/>
                <w:sz w:val="20"/>
                <w:b/>
              </w:rPr>
              <w:t>（六）合同争议的解决</w:t>
            </w:r>
          </w:p>
          <w:p>
            <w:pPr>
              <w:pStyle w:val="null3"/>
              <w:ind w:firstLine="240"/>
              <w:jc w:val="both"/>
            </w:pPr>
            <w:r>
              <w:rPr>
                <w:rFonts w:ascii="仿宋_GB2312" w:hAnsi="仿宋_GB2312" w:cs="仿宋_GB2312" w:eastAsia="仿宋_GB2312"/>
                <w:sz w:val="20"/>
              </w:rPr>
              <w:t>6.1、合同一经签订，不得擅自变更、中止或者终止合同。对确需变更、调整或者中止、终止合同的，应按规定履行相应的手续。</w:t>
            </w:r>
          </w:p>
          <w:p>
            <w:pPr>
              <w:pStyle w:val="null3"/>
              <w:ind w:firstLine="240"/>
              <w:jc w:val="both"/>
            </w:pPr>
            <w:r>
              <w:rPr>
                <w:rFonts w:ascii="仿宋_GB2312" w:hAnsi="仿宋_GB2312" w:cs="仿宋_GB2312" w:eastAsia="仿宋_GB2312"/>
                <w:sz w:val="20"/>
              </w:rPr>
              <w:t>6.2、采购人在合同的履行期间以及履行期后，可以随时检查项目的执行情况，对磋商响应标准、磋商响应内容进行调查核实，并对发现的问题进行处理。</w:t>
            </w:r>
          </w:p>
          <w:p>
            <w:pPr>
              <w:pStyle w:val="null3"/>
              <w:ind w:firstLine="240"/>
              <w:jc w:val="both"/>
            </w:pPr>
            <w:r>
              <w:rPr>
                <w:rFonts w:ascii="仿宋_GB2312" w:hAnsi="仿宋_GB2312" w:cs="仿宋_GB2312" w:eastAsia="仿宋_GB2312"/>
                <w:sz w:val="20"/>
              </w:rPr>
              <w:t>6.3、合同争议的解决：合同在履行过程中发生的争议，当事人双方应协商解决，协商达不成一致时，可向当地向人民法院提请诉讼。</w:t>
            </w:r>
          </w:p>
          <w:p>
            <w:pPr>
              <w:pStyle w:val="null3"/>
              <w:jc w:val="both"/>
            </w:pPr>
            <w:r>
              <w:rPr>
                <w:rFonts w:ascii="仿宋_GB2312" w:hAnsi="仿宋_GB2312" w:cs="仿宋_GB2312" w:eastAsia="仿宋_GB2312"/>
                <w:sz w:val="20"/>
                <w:b/>
              </w:rPr>
              <w:t>（七）违约责任</w:t>
            </w:r>
          </w:p>
          <w:p>
            <w:pPr>
              <w:pStyle w:val="null3"/>
              <w:ind w:firstLine="240"/>
              <w:jc w:val="both"/>
            </w:pPr>
            <w:r>
              <w:rPr>
                <w:rFonts w:ascii="仿宋_GB2312" w:hAnsi="仿宋_GB2312" w:cs="仿宋_GB2312" w:eastAsia="仿宋_GB2312"/>
                <w:sz w:val="20"/>
              </w:rPr>
              <w:t>7.1、依据《中华人民共和国民法典》、《中华人民共和国政府采购法》的相关条款和本合同约定的相关条款执行。</w:t>
            </w:r>
          </w:p>
          <w:p>
            <w:pPr>
              <w:pStyle w:val="null3"/>
              <w:ind w:firstLine="200"/>
            </w:pPr>
            <w:r>
              <w:rPr>
                <w:rFonts w:ascii="仿宋_GB2312" w:hAnsi="仿宋_GB2312" w:cs="仿宋_GB2312" w:eastAsia="仿宋_GB2312"/>
                <w:sz w:val="20"/>
              </w:rPr>
              <w:t>7.2、成交供应商未按合同要求履行，不符合磋商技术要求，成交供应商必须无条件更换人员或设备，提高技术，完善质量，否则，采购人有权终止合同，并对成交供应商的违约行为进行追究。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成交供应商应在合同签订后十二个月内提交项目成果，并配合甲方开展后续项目验收工作，具体验收时间由甲方安排。</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1）合同签订后十个工作日内，成交供应商向采购人出具的银行保函（保函金额合同签署前由采购人确定，保函有效期截止时间为本项目验收合格后满六个月）； （2）采购人收到成交供应商合格银行保函后支付全部合同总价款； （3）成交供应商承诺在采购人办理支付手续前，为采购人出具等额的符合国家规定的发票； （4)上述时间不包括采购人正常办理支付报批手续的时间</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本项目属于其他未列明行业。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法定代表人授权书、被授权人身份证及授权代表在本单位的社保缴纳证明（法定代表人直接参与，只须提交其身份证明）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磋商保证金交纳凭证（附开户许可证或基本账户存款信息）</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w:t>
            </w:r>
          </w:p>
        </w:tc>
        <w:tc>
          <w:tcPr>
            <w:tcW w:type="dxa" w:w="3322"/>
          </w:tcPr>
          <w:p>
            <w:pPr>
              <w:pStyle w:val="null3"/>
            </w:pPr>
            <w:r>
              <w:rPr>
                <w:rFonts w:ascii="仿宋_GB2312" w:hAnsi="仿宋_GB2312" w:cs="仿宋_GB2312" w:eastAsia="仿宋_GB2312"/>
              </w:rPr>
              <w:t>供应商名称与获取磋商文件的单位名称一致的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响应有效期不足的或无有效期的</w:t>
            </w:r>
          </w:p>
        </w:tc>
        <w:tc>
          <w:tcPr>
            <w:tcW w:type="dxa" w:w="3322"/>
          </w:tcPr>
          <w:p>
            <w:pPr>
              <w:pStyle w:val="null3"/>
            </w:pPr>
            <w:r>
              <w:rPr>
                <w:rFonts w:ascii="仿宋_GB2312" w:hAnsi="仿宋_GB2312" w:cs="仿宋_GB2312" w:eastAsia="仿宋_GB2312"/>
              </w:rPr>
              <w:t>响应有效期满足磋商响应文件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磋商要求偏离表.docx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项目采购需求分析</w:t>
            </w:r>
          </w:p>
        </w:tc>
        <w:tc>
          <w:tcPr>
            <w:tcW w:type="dxa" w:w="2492"/>
          </w:tcPr>
          <w:p>
            <w:pPr>
              <w:pStyle w:val="null3"/>
            </w:pPr>
            <w:r>
              <w:rPr>
                <w:rFonts w:ascii="仿宋_GB2312" w:hAnsi="仿宋_GB2312" w:cs="仿宋_GB2312" w:eastAsia="仿宋_GB2312"/>
              </w:rPr>
              <w:t>一、评审内容 针对本项目提供项目采购需求分析，包括但不限于①对工作内容理解；②对项目重点难点分析；③重难点工作解决方案。 二、评审标准 1、完整性：方案须全面，对评审内容中的各项要求有详细描述； 2、可实施性：切合本项目实际情况，实施步骤清晰、合理； 3、针对性：方案能够紧扣项目实际情况，内容科学合理。 三、赋分依据（满分9分） ①对工作内容、目标理解：每完全满足一个评审标准得1分，满分3分； ②对项目重点难点分析：每完全满足一个评审标准得1分，满分3分。 ③重难点工作解决方案：每完全满足一个评审标准得1分，满分3分。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针对本项目提供总体实施方案，包括但不限于①项目研究方法；②项目技术路线；③项目工作成果；④项目调研方案。 二、评审标准 1、完整性：方案须全面，对评审内容中的各项要求有详细描述； 2、可实施性：切合本项目实际情况，实施步骤清晰、合理； 3、针对性：方案能够紧扣项目实际情况，内容科学合理。 三、赋分依据（满分12分） ①项目研究方法：每完全满足一个评审标准得1分，满分3分； ②项目技术路线：每完全满足一个评审标准得1分，满分3分； ③项目工作成果：每完全满足一个评审标准得1分，满分3分； ④项目调研方案：每完全满足一个评审标准得1分，满分3分；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完善的服务，包括但不限于：①项目整体管理方案，②项目保密控制方案，③针对本项目的售后服务承诺，包括但不限于售后响应时效、遇突发情况或临时任务时的保障服务、售后服务人员组织架构等；④根据项目需求结合自身能力提供售后服务方案。 二、评审标准 1、完整性：方案须全面，对评审内容中的各项要求有详细描述； 2、可实施性：切合本项目实际情况，实施步骤清晰、合理； 3、针对性：方案能够紧扣项目实际情况，内容科学合理。 三、赋分依据（满分12分） ①项目整体管理方案：每完全满足一个评审标准得1分，满分3分； ②项目保密控制方案；每完全满足一个评审标准得1分，满分3分； ③针对本项目的售后服务承诺，包括但不限于售后响应时效、遇突发情况或临时任务时的保障服务、售后服务人员组织架构等：每完全满足一个评审标准得1分，满分3分； ④根据项目需求结合自身能力提供售后服务方案：每完全满足一个评审标准得1分，满分3分。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项目进度计划及质量保障措施</w:t>
            </w:r>
          </w:p>
        </w:tc>
        <w:tc>
          <w:tcPr>
            <w:tcW w:type="dxa" w:w="2492"/>
          </w:tcPr>
          <w:p>
            <w:pPr>
              <w:pStyle w:val="null3"/>
            </w:pPr>
            <w:r>
              <w:rPr>
                <w:rFonts w:ascii="仿宋_GB2312" w:hAnsi="仿宋_GB2312" w:cs="仿宋_GB2312" w:eastAsia="仿宋_GB2312"/>
              </w:rPr>
              <w:t>一、评审内容 针对本项目提供项目进度计划及质量保障措施，包括但不限于①项目进度计划安排；②项目进度保障措施；③服务质量保障措施；④知识产权保护及数据资料保密方案。 二、评审标准 1、完整性：方案须全面，对评审内容中的各项要求有详细描述； 2、可实施性：切合本项目实际情况，实施步骤清晰、合理； 3、针对性：方案能够紧扣项目实际情况，内容科学合理。 三、赋分依据（满分12分） ①项目进度计划安排：每完全满足一个评审标准得1分，满分3分； ②项目进度保障措施：每完全满足一个评审标准得1分，满分3分； ③服务质量保障措施：每完全满足一个评审标准得1分，满分3分； ④知识产权保护及数据资料保密方案：每完全满足一个评审标准得1分，满分3分。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一、评审内容 针对本项目提供项目团队人员配备，包括但不限于：①项目服务团队架构及工作人员投入计划；②项目人员岗位划分及工作职责；③项目人员管理制度。 二、评审标准 1、完整性：方案须全面，对评审内容中的各项要求有详细描述； 2、可实施性：切合本项目实际情况，实施步骤清晰、合理； 3、针对性：方案能够紧扣项目实际情况，内容科学合理。 三、赋分依据（满分9分） ①项目服务团队架构及工作人员投入计划：每完全满足一个评审标准得1分，满分3分； ②项目人员岗位划分及工作职责：每完全满足一个评审标准得1分，满分3分； ③项目人员管理制度：每完全满足一个评审标准得1分，满分3分。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成果保障及验收方案</w:t>
            </w:r>
          </w:p>
        </w:tc>
        <w:tc>
          <w:tcPr>
            <w:tcW w:type="dxa" w:w="2492"/>
          </w:tcPr>
          <w:p>
            <w:pPr>
              <w:pStyle w:val="null3"/>
            </w:pPr>
            <w:r>
              <w:rPr>
                <w:rFonts w:ascii="仿宋_GB2312" w:hAnsi="仿宋_GB2312" w:cs="仿宋_GB2312" w:eastAsia="仿宋_GB2312"/>
              </w:rPr>
              <w:t>一、评审内容 针对本项目提供成果保障及验收方案，包括但不限于：①服务成果完整性保证措施；②成果质量保证；③成果验收方案；④全过程资料的收集、整理及移交。 二、评审标准 1、完整性：方案须全面，对评审内容中的各项要求有详细描述； 2、可实施性：切合本项目实际情况，实施步骤清晰、合理； 3、针对性：方案能够紧扣项目实际情况，内容科学合理。 三、赋分依据（满分12分） ①服务成果完整性保证措施：每完全满足一个评审标准得1分，满分3分； ②成果质量保证：每完全满足一个评审标准得1分，满分3分； ③成果验收方案：每完全满足一个评审标准得1分，满分3分； ④全过程资料的收集、整理及移交：每完全满足一个评审标准得1分，满分3分。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突发情况处理方案及合理化建议</w:t>
            </w:r>
          </w:p>
        </w:tc>
        <w:tc>
          <w:tcPr>
            <w:tcW w:type="dxa" w:w="2492"/>
          </w:tcPr>
          <w:p>
            <w:pPr>
              <w:pStyle w:val="null3"/>
            </w:pPr>
            <w:r>
              <w:rPr>
                <w:rFonts w:ascii="仿宋_GB2312" w:hAnsi="仿宋_GB2312" w:cs="仿宋_GB2312" w:eastAsia="仿宋_GB2312"/>
              </w:rPr>
              <w:t>一、评审内容 针对本项目提供突发情况处理方案及合理化建议，包括但不限于：①应对遇突发情况或临时任务时的保障服务；②突发情况的处理措施；③合理化建议。 二、评审标准 1、完整性：方案须全面，对评审内容中的各项要求有详细描述； 2、可实施性：切合本项目实际情况，实施步骤清晰、合理； 3、针对性：方案能够紧扣项目实际情况，内容科学合理。 三、赋分依据（满分9分） ①应对遇突发情况或临时任务时的保障服务：每完全满足一个评审标准得1分，满分3分； ②突发情况的处理措施：每完全满足一个评审标准得1分，满分3分； ③合理化建议：每完全满足一个评审标准得1分，满分3分。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人员要求</w:t>
            </w:r>
          </w:p>
        </w:tc>
        <w:tc>
          <w:tcPr>
            <w:tcW w:type="dxa" w:w="2492"/>
          </w:tcPr>
          <w:p>
            <w:pPr>
              <w:pStyle w:val="null3"/>
            </w:pPr>
            <w:r>
              <w:rPr>
                <w:rFonts w:ascii="仿宋_GB2312" w:hAnsi="仿宋_GB2312" w:cs="仿宋_GB2312" w:eastAsia="仿宋_GB2312"/>
              </w:rPr>
              <w:t>1.项目负责人（1人，满分3分） 投标供应商拟投入的项目负责人具有通信类相关专业高级及以上工程师职称的，得3分； 2.其他团队成员（不含项目负责人，满分4分） 投标供应商拟投入本项目的团队人员具有中级及以上工程师职称的，加1分/人，最多加4分。 注：投标人需提供相关人员的职称证书及近一年内任意一个月社保缴纳证明，加盖投标供应商公章，不提供不得分。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1.供应商提供2023年1月1日（日期以签订合同实际为准）至今所完成的同类项目业绩的，每提供一项得1分，最高得8分。 注： ①日期以合同签订之日为准； ②证明材料须提供项目合同关键页（如服务内容页、双方签字盖章页等）复印件，加盖投标供应商公章。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满足磋商采购文件要求，通过资格审查且在规定时间内提交最终报价的为有效报价；价格最低的磋商总报价为评审基准价，其价格分为满分。其他供应商的价格分统一按照下列公式计算： 磋商报价得分=（评审基准价/磋商总报价）×10；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详见附件：磋商要求偏离表.docx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