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D7B88">
      <w:pPr>
        <w:spacing w:line="240" w:lineRule="auto"/>
        <w:ind w:firstLine="960"/>
        <w:jc w:val="center"/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实施方案</w:t>
      </w:r>
    </w:p>
    <w:p w14:paraId="0D59366F"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供应商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可根据评审办法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  <w:lang w:val="en-US" w:eastAsia="zh-CN"/>
        </w:rPr>
        <w:t>、所投产品及证明资料自行编写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D8D1547-798E-4366-A660-6C3813124BE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037DA4E3-7E05-47CE-B523-34CB3921035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F48FB"/>
    <w:rsid w:val="1E9B3C45"/>
    <w:rsid w:val="25160902"/>
    <w:rsid w:val="724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2025-11-12T09:36:00Z</dcterms:created>
  <dc:creator>十五</dc:creator>
  <cp:lastModifiedBy>十五</cp:lastModifiedBy>
  <dcterms:modified xsi:type="dcterms:W3CDTF">2025-11-12T09:46:12Z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E51398BA04FD44A092BD6BF1B141C209_11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