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版本号：SCIT-ZG-SX202511000320251125001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110GHz矢量网络分析仪采购项目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SCIT-ZG-SX2025110003</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110GHz矢量网络分析仪采购项目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SCIT-ZG-SX2025110003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110GHz矢量网络分析仪采购项目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本项目共1个包，采购110GHz矢量网络分析仪1套并安装调试到位（具体详见招标文件）； 项目用途：110GHz矢量网络分析仪采购并安装调试到位； 采购预算：4080000.00 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代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银行账号：9902001834068718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本项目共1个包，采购110GHz矢量网络分析仪1套并安装调试到位（具体详见招标文件）； 项目用途：110GHz矢量网络分析仪采购并安装调试到位； 采购预算：4080000.00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4,080,000.00</w:t>
      </w:r>
    </w:p>
    <w:p>
      <w:pPr>
        <w:pStyle w:val="null3"/>
      </w:pPr>
      <w:r>
        <w:rPr>
          <w:rFonts w:ascii="仿宋_GB2312" w:hAnsi="仿宋_GB2312" w:cs="仿宋_GB2312" w:eastAsia="仿宋_GB2312"/>
        </w:rPr>
        <w:t>采购包最高限价（元）: 4,080,000.00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110GHz矢量网络分析仪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标的名称：110GHz矢量网络分析仪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110GHz</w:t>
            </w:r>
            <w:r>
              <w:rPr>
                <w:rFonts w:ascii="仿宋_GB2312" w:hAnsi="仿宋_GB2312" w:cs="仿宋_GB2312" w:eastAsia="仿宋_GB2312"/>
                <w:sz w:val="21"/>
              </w:rPr>
              <w:t>矢量网络分析仪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网络分析仪主机频率范围：</w:t>
            </w:r>
            <w:r>
              <w:rPr>
                <w:rFonts w:ascii="仿宋_GB2312" w:hAnsi="仿宋_GB2312" w:cs="仿宋_GB2312" w:eastAsia="仿宋_GB2312"/>
                <w:sz w:val="21"/>
              </w:rPr>
              <w:t>10</w:t>
            </w:r>
            <w:r>
              <w:rPr>
                <w:rFonts w:ascii="仿宋_GB2312" w:hAnsi="仿宋_GB2312" w:cs="仿宋_GB2312" w:eastAsia="仿宋_GB2312"/>
                <w:sz w:val="21"/>
              </w:rPr>
              <w:t>MHz-67GHz</w:t>
            </w:r>
            <w:r>
              <w:rPr>
                <w:rFonts w:ascii="仿宋_GB2312" w:hAnsi="仿宋_GB2312" w:cs="仿宋_GB2312" w:eastAsia="仿宋_GB2312"/>
                <w:sz w:val="21"/>
              </w:rPr>
              <w:t>，主机端口数</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端口，具有前面板跳线，具有中频输入功能，中频输入接口数量≥</w:t>
            </w:r>
            <w:r>
              <w:rPr>
                <w:rFonts w:ascii="仿宋_GB2312" w:hAnsi="仿宋_GB2312" w:cs="仿宋_GB2312" w:eastAsia="仿宋_GB2312"/>
                <w:sz w:val="21"/>
              </w:rPr>
              <w:t>5</w:t>
            </w:r>
            <w:r>
              <w:rPr>
                <w:rFonts w:ascii="仿宋_GB2312" w:hAnsi="仿宋_GB2312" w:cs="仿宋_GB2312" w:eastAsia="仿宋_GB2312"/>
                <w:sz w:val="21"/>
              </w:rPr>
              <w:t>端口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★2.具有扩频控制器及扩频器，扩频后实现2端口10MHz～110GHz同轴1.0mm接口连续扫描功能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★3.具有时域分析、眼图分析功能、噪声系数测试（噪声源频率范围10MHz～67GHz）、增益压缩测试、互调测试功能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▲4.扩频模块端口输出功率范围至少覆盖-35dBm ～0dBm@75GHz～110GHz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▲5.频率分辨率≤0.1Hz；中频带宽1Hz</w:t>
            </w:r>
            <w:r>
              <w:rPr>
                <w:rFonts w:ascii="仿宋_GB2312" w:hAnsi="仿宋_GB2312" w:cs="仿宋_GB2312" w:eastAsia="仿宋_GB2312"/>
                <w:sz w:val="21"/>
              </w:rPr>
              <w:t>～</w:t>
            </w:r>
            <w:r>
              <w:rPr>
                <w:rFonts w:ascii="仿宋_GB2312" w:hAnsi="仿宋_GB2312" w:cs="仿宋_GB2312" w:eastAsia="仿宋_GB2312"/>
                <w:sz w:val="21"/>
              </w:rPr>
              <w:t>30MHz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6.测量点数</w:t>
            </w:r>
            <w:r>
              <w:rPr>
                <w:rFonts w:ascii="仿宋_GB2312" w:hAnsi="仿宋_GB2312" w:cs="仿宋_GB2312" w:eastAsia="仿宋_GB2312"/>
                <w:sz w:val="21"/>
              </w:rPr>
              <w:t>≥</w:t>
            </w:r>
            <w:r>
              <w:rPr>
                <w:rFonts w:ascii="仿宋_GB2312" w:hAnsi="仿宋_GB2312" w:cs="仿宋_GB2312" w:eastAsia="仿宋_GB2312"/>
                <w:sz w:val="21"/>
              </w:rPr>
              <w:t>200000点</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7.主机测试</w:t>
            </w:r>
            <w:r>
              <w:rPr>
                <w:rFonts w:ascii="仿宋_GB2312" w:hAnsi="仿宋_GB2312" w:cs="仿宋_GB2312" w:eastAsia="仿宋_GB2312"/>
                <w:sz w:val="21"/>
              </w:rPr>
              <w:t>端口</w:t>
            </w:r>
            <w:r>
              <w:rPr>
                <w:rFonts w:ascii="仿宋_GB2312" w:hAnsi="仿宋_GB2312" w:cs="仿宋_GB2312" w:eastAsia="仿宋_GB2312"/>
                <w:sz w:val="21"/>
              </w:rPr>
              <w:t>动态范围：</w:t>
            </w:r>
          </w:p>
          <w:p>
            <w:pPr>
              <w:pStyle w:val="null3"/>
              <w:jc w:val="left"/>
            </w:pPr>
            <w:r>
              <w:rPr>
                <w:rFonts w:ascii="仿宋_GB2312" w:hAnsi="仿宋_GB2312" w:cs="仿宋_GB2312" w:eastAsia="仿宋_GB2312"/>
                <w:sz w:val="21"/>
              </w:rPr>
              <w:t>≥125dB@500MHz～26.5GHz；</w:t>
            </w:r>
          </w:p>
          <w:p>
            <w:pPr>
              <w:pStyle w:val="null3"/>
              <w:jc w:val="left"/>
            </w:pPr>
            <w:r>
              <w:rPr>
                <w:rFonts w:ascii="仿宋_GB2312" w:hAnsi="仿宋_GB2312" w:cs="仿宋_GB2312" w:eastAsia="仿宋_GB2312"/>
                <w:sz w:val="21"/>
              </w:rPr>
              <w:t>≥120dB@26.5GHz～40GHz；</w:t>
            </w:r>
          </w:p>
          <w:p>
            <w:pPr>
              <w:pStyle w:val="null3"/>
              <w:jc w:val="left"/>
            </w:pPr>
            <w:r>
              <w:rPr>
                <w:rFonts w:ascii="仿宋_GB2312" w:hAnsi="仿宋_GB2312" w:cs="仿宋_GB2312" w:eastAsia="仿宋_GB2312"/>
                <w:sz w:val="21"/>
              </w:rPr>
              <w:t>≥105dB@40GHz～67GHz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8.接收机灵敏度：</w:t>
            </w:r>
          </w:p>
          <w:p>
            <w:pPr>
              <w:pStyle w:val="null3"/>
              <w:jc w:val="left"/>
            </w:pPr>
            <w:r>
              <w:rPr>
                <w:rFonts w:ascii="仿宋_GB2312" w:hAnsi="仿宋_GB2312" w:cs="仿宋_GB2312" w:eastAsia="仿宋_GB2312"/>
                <w:sz w:val="21"/>
              </w:rPr>
              <w:t>≤-120dBm@500MHz～40GHz；</w:t>
            </w:r>
          </w:p>
          <w:p>
            <w:pPr>
              <w:pStyle w:val="null3"/>
              <w:jc w:val="left"/>
            </w:pPr>
            <w:r>
              <w:rPr>
                <w:rFonts w:ascii="仿宋_GB2312" w:hAnsi="仿宋_GB2312" w:cs="仿宋_GB2312" w:eastAsia="仿宋_GB2312"/>
                <w:sz w:val="21"/>
              </w:rPr>
              <w:t>≤-115dBm@40GHz～50GHz；</w:t>
            </w:r>
          </w:p>
          <w:p>
            <w:pPr>
              <w:pStyle w:val="null3"/>
              <w:jc w:val="left"/>
            </w:pPr>
            <w:r>
              <w:rPr>
                <w:rFonts w:ascii="仿宋_GB2312" w:hAnsi="仿宋_GB2312" w:cs="仿宋_GB2312" w:eastAsia="仿宋_GB2312"/>
                <w:sz w:val="21"/>
              </w:rPr>
              <w:t>≤-100dBm@50GHz～67GH</w:t>
            </w:r>
            <w:r>
              <w:rPr>
                <w:rFonts w:ascii="仿宋_GB2312" w:hAnsi="仿宋_GB2312" w:cs="仿宋_GB2312" w:eastAsia="仿宋_GB2312"/>
                <w:sz w:val="21"/>
              </w:rPr>
              <w:t>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9.主机输出功率范围至少覆盖</w:t>
            </w:r>
            <w:r>
              <w:rPr>
                <w:rFonts w:ascii="仿宋_GB2312" w:hAnsi="仿宋_GB2312" w:cs="仿宋_GB2312" w:eastAsia="仿宋_GB2312"/>
                <w:sz w:val="21"/>
              </w:rPr>
              <w:t>-75dBm</w:t>
            </w:r>
            <w:r>
              <w:rPr>
                <w:rFonts w:ascii="仿宋_GB2312" w:hAnsi="仿宋_GB2312" w:cs="仿宋_GB2312" w:eastAsia="仿宋_GB2312"/>
                <w:sz w:val="21"/>
              </w:rPr>
              <w:t>～</w:t>
            </w:r>
            <w:r>
              <w:rPr>
                <w:rFonts w:ascii="仿宋_GB2312" w:hAnsi="仿宋_GB2312" w:cs="仿宋_GB2312" w:eastAsia="仿宋_GB2312"/>
                <w:sz w:val="21"/>
              </w:rPr>
              <w:t>2dBm@10MHz～67GHz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10.主机毫米波本振输出频率范围至少覆盖1GHz～26.5GHz；最大输出功率≥20dBm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二、网络分析仪</w:t>
            </w:r>
            <w:r>
              <w:rPr>
                <w:rFonts w:ascii="仿宋_GB2312" w:hAnsi="仿宋_GB2312" w:cs="仿宋_GB2312" w:eastAsia="仿宋_GB2312"/>
                <w:sz w:val="21"/>
              </w:rPr>
              <w:t>110</w:t>
            </w:r>
            <w:r>
              <w:rPr>
                <w:rFonts w:ascii="仿宋_GB2312" w:hAnsi="仿宋_GB2312" w:cs="仿宋_GB2312" w:eastAsia="仿宋_GB2312"/>
                <w:sz w:val="21"/>
              </w:rPr>
              <w:t>GHz</w:t>
            </w:r>
            <w:r>
              <w:rPr>
                <w:rFonts w:ascii="仿宋_GB2312" w:hAnsi="仿宋_GB2312" w:cs="仿宋_GB2312" w:eastAsia="仿宋_GB2312"/>
                <w:sz w:val="21"/>
              </w:rPr>
              <w:t>～</w:t>
            </w:r>
            <w:r>
              <w:rPr>
                <w:rFonts w:ascii="仿宋_GB2312" w:hAnsi="仿宋_GB2312" w:cs="仿宋_GB2312" w:eastAsia="仿宋_GB2312"/>
                <w:sz w:val="21"/>
              </w:rPr>
              <w:t>170GHz</w:t>
            </w:r>
            <w:r>
              <w:rPr>
                <w:rFonts w:ascii="仿宋_GB2312" w:hAnsi="仿宋_GB2312" w:cs="仿宋_GB2312" w:eastAsia="仿宋_GB2312"/>
                <w:sz w:val="21"/>
              </w:rPr>
              <w:t>扩频模块</w:t>
            </w:r>
          </w:p>
          <w:p>
            <w:pPr>
              <w:pStyle w:val="null3"/>
              <w:jc w:val="left"/>
            </w:pPr>
            <w:r>
              <w:rPr>
                <w:rFonts w:ascii="仿宋_GB2312" w:hAnsi="仿宋_GB2312" w:cs="仿宋_GB2312" w:eastAsia="仿宋_GB2312"/>
                <w:sz w:val="21"/>
              </w:rPr>
              <w:t>★1.具有两只TR扩频模块，</w:t>
            </w:r>
            <w:r>
              <w:rPr>
                <w:rFonts w:ascii="仿宋_GB2312" w:hAnsi="仿宋_GB2312" w:cs="仿宋_GB2312" w:eastAsia="仿宋_GB2312"/>
                <w:sz w:val="21"/>
              </w:rPr>
              <w:t>扩频</w:t>
            </w:r>
            <w:r>
              <w:rPr>
                <w:rFonts w:ascii="仿宋_GB2312" w:hAnsi="仿宋_GB2312" w:cs="仿宋_GB2312" w:eastAsia="仿宋_GB2312"/>
                <w:sz w:val="21"/>
              </w:rPr>
              <w:t>频率范围：</w:t>
            </w:r>
            <w:r>
              <w:rPr>
                <w:rFonts w:ascii="仿宋_GB2312" w:hAnsi="仿宋_GB2312" w:cs="仿宋_GB2312" w:eastAsia="仿宋_GB2312"/>
                <w:sz w:val="21"/>
              </w:rPr>
              <w:t>110GHz～170GHz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2.输出功率（含内置隔离和可调衰减器）≥12dBm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▲3.每只TR模块内置110GHz</w:t>
            </w:r>
            <w:r>
              <w:rPr>
                <w:rFonts w:ascii="仿宋_GB2312" w:hAnsi="仿宋_GB2312" w:cs="仿宋_GB2312" w:eastAsia="仿宋_GB2312"/>
                <w:sz w:val="21"/>
              </w:rPr>
              <w:t>-170GHz</w:t>
            </w:r>
            <w:r>
              <w:rPr>
                <w:rFonts w:ascii="仿宋_GB2312" w:hAnsi="仿宋_GB2312" w:cs="仿宋_GB2312" w:eastAsia="仿宋_GB2312"/>
                <w:sz w:val="21"/>
              </w:rPr>
              <w:t>隔离器数量</w:t>
            </w:r>
            <w:r>
              <w:rPr>
                <w:rFonts w:ascii="仿宋_GB2312" w:hAnsi="仿宋_GB2312" w:cs="仿宋_GB2312" w:eastAsia="仿宋_GB2312"/>
                <w:sz w:val="21"/>
              </w:rPr>
              <w:t>≥3只，插损≤1</w:t>
            </w:r>
            <w:r>
              <w:rPr>
                <w:rFonts w:ascii="仿宋_GB2312" w:hAnsi="仿宋_GB2312" w:cs="仿宋_GB2312" w:eastAsia="仿宋_GB2312"/>
                <w:sz w:val="21"/>
              </w:rPr>
              <w:t>.8dB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4.TR模块内置可调衰减器，衰减调节范围≥3</w:t>
            </w:r>
            <w:r>
              <w:rPr>
                <w:rFonts w:ascii="仿宋_GB2312" w:hAnsi="仿宋_GB2312" w:cs="仿宋_GB2312" w:eastAsia="仿宋_GB2312"/>
                <w:sz w:val="21"/>
              </w:rPr>
              <w:t>5</w:t>
            </w:r>
            <w:r>
              <w:rPr>
                <w:rFonts w:ascii="仿宋_GB2312" w:hAnsi="仿宋_GB2312" w:cs="仿宋_GB2312" w:eastAsia="仿宋_GB2312"/>
                <w:sz w:val="21"/>
              </w:rPr>
              <w:t>dB，插损≤0</w:t>
            </w:r>
            <w:r>
              <w:rPr>
                <w:rFonts w:ascii="仿宋_GB2312" w:hAnsi="仿宋_GB2312" w:cs="仿宋_GB2312" w:eastAsia="仿宋_GB2312"/>
                <w:sz w:val="21"/>
              </w:rPr>
              <w:t>.8dB</w:t>
            </w:r>
            <w:r>
              <w:rPr>
                <w:rFonts w:ascii="仿宋_GB2312" w:hAnsi="仿宋_GB2312" w:cs="仿宋_GB2312" w:eastAsia="仿宋_GB2312"/>
                <w:sz w:val="21"/>
              </w:rPr>
              <w:t>，平坦度</w:t>
            </w:r>
            <w:r>
              <w:rPr>
                <w:rFonts w:ascii="仿宋_GB2312" w:hAnsi="仿宋_GB2312" w:cs="仿宋_GB2312" w:eastAsia="仿宋_GB2312"/>
                <w:sz w:val="21"/>
              </w:rPr>
              <w:t>±2.5dB</w:t>
            </w:r>
            <w:r>
              <w:rPr>
                <w:rFonts w:ascii="仿宋_GB2312" w:hAnsi="仿宋_GB2312" w:cs="仿宋_GB2312" w:eastAsia="仿宋_GB2312"/>
                <w:sz w:val="21"/>
              </w:rPr>
              <w:t>@</w:t>
            </w:r>
            <w:r>
              <w:rPr>
                <w:rFonts w:ascii="仿宋_GB2312" w:hAnsi="仿宋_GB2312" w:cs="仿宋_GB2312" w:eastAsia="仿宋_GB2312"/>
                <w:sz w:val="21"/>
              </w:rPr>
              <w:t>30dB</w:t>
            </w:r>
            <w:r>
              <w:rPr>
                <w:rFonts w:ascii="仿宋_GB2312" w:hAnsi="仿宋_GB2312" w:cs="仿宋_GB2312" w:eastAsia="仿宋_GB2312"/>
                <w:sz w:val="21"/>
              </w:rPr>
              <w:t>；测试端口原始回波损耗</w:t>
            </w:r>
            <w:r>
              <w:rPr>
                <w:rFonts w:ascii="仿宋_GB2312" w:hAnsi="仿宋_GB2312" w:cs="仿宋_GB2312" w:eastAsia="仿宋_GB2312"/>
                <w:sz w:val="21"/>
              </w:rPr>
              <w:t>≥17dB；测试端口谐波杂散抑制比≥20dBc</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5.内置隔离和衰减后的系统动态范围（</w:t>
            </w:r>
            <w:r>
              <w:rPr>
                <w:rFonts w:ascii="仿宋_GB2312" w:hAnsi="仿宋_GB2312" w:cs="仿宋_GB2312" w:eastAsia="仿宋_GB2312"/>
                <w:sz w:val="21"/>
              </w:rPr>
              <w:t>中频</w:t>
            </w:r>
            <w:r>
              <w:rPr>
                <w:rFonts w:ascii="仿宋_GB2312" w:hAnsi="仿宋_GB2312" w:cs="仿宋_GB2312" w:eastAsia="仿宋_GB2312"/>
                <w:sz w:val="21"/>
              </w:rPr>
              <w:t>带宽</w:t>
            </w:r>
            <w:r>
              <w:rPr>
                <w:rFonts w:ascii="仿宋_GB2312" w:hAnsi="仿宋_GB2312" w:cs="仿宋_GB2312" w:eastAsia="仿宋_GB2312"/>
                <w:sz w:val="21"/>
              </w:rPr>
              <w:t>10</w:t>
            </w:r>
            <w:r>
              <w:rPr>
                <w:rFonts w:ascii="仿宋_GB2312" w:hAnsi="仿宋_GB2312" w:cs="仿宋_GB2312" w:eastAsia="仿宋_GB2312"/>
                <w:sz w:val="21"/>
              </w:rPr>
              <w:t>H</w:t>
            </w:r>
            <w:r>
              <w:rPr>
                <w:rFonts w:ascii="仿宋_GB2312" w:hAnsi="仿宋_GB2312" w:cs="仿宋_GB2312" w:eastAsia="仿宋_GB2312"/>
                <w:sz w:val="21"/>
              </w:rPr>
              <w:t>z，无平均）≥110</w:t>
            </w:r>
            <w:r>
              <w:rPr>
                <w:rFonts w:ascii="仿宋_GB2312" w:hAnsi="仿宋_GB2312" w:cs="仿宋_GB2312" w:eastAsia="仿宋_GB2312"/>
                <w:sz w:val="21"/>
              </w:rPr>
              <w:t>dB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6.有效方向性/有效负载匹配≥35dB；有效源匹配≥30dB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7.幅度稳定性±0.15dB；相位稳定性±2deg。</w:t>
            </w:r>
          </w:p>
          <w:p>
            <w:pPr>
              <w:pStyle w:val="null3"/>
              <w:jc w:val="left"/>
            </w:pPr>
            <w:r>
              <w:rPr>
                <w:rFonts w:ascii="仿宋_GB2312" w:hAnsi="仿宋_GB2312" w:cs="仿宋_GB2312" w:eastAsia="仿宋_GB2312"/>
                <w:sz w:val="21"/>
              </w:rPr>
              <w:t>三、配套附件</w:t>
            </w:r>
          </w:p>
          <w:p>
            <w:pPr>
              <w:pStyle w:val="null3"/>
              <w:jc w:val="left"/>
            </w:pPr>
            <w:r>
              <w:rPr>
                <w:rFonts w:ascii="仿宋_GB2312" w:hAnsi="仿宋_GB2312" w:cs="仿宋_GB2312" w:eastAsia="仿宋_GB2312"/>
                <w:sz w:val="18"/>
              </w:rPr>
              <w:t>★</w:t>
            </w:r>
            <w:r>
              <w:rPr>
                <w:rFonts w:ascii="仿宋_GB2312" w:hAnsi="仿宋_GB2312" w:cs="仿宋_GB2312" w:eastAsia="仿宋_GB2312"/>
                <w:sz w:val="21"/>
              </w:rPr>
              <w:t>1.</w:t>
            </w:r>
            <w:r>
              <w:rPr>
                <w:rFonts w:ascii="仿宋_GB2312" w:hAnsi="仿宋_GB2312" w:cs="仿宋_GB2312" w:eastAsia="仿宋_GB2312"/>
                <w:sz w:val="21"/>
              </w:rPr>
              <w:t>配备</w:t>
            </w:r>
            <w:r>
              <w:rPr>
                <w:rFonts w:ascii="仿宋_GB2312" w:hAnsi="仿宋_GB2312" w:cs="仿宋_GB2312" w:eastAsia="仿宋_GB2312"/>
                <w:sz w:val="21"/>
              </w:rPr>
              <w:t>网络分析仪主机原厂精密型机械校准件两套，分别为</w:t>
            </w:r>
            <w:r>
              <w:rPr>
                <w:rFonts w:ascii="仿宋_GB2312" w:hAnsi="仿宋_GB2312" w:cs="仿宋_GB2312" w:eastAsia="仿宋_GB2312"/>
                <w:sz w:val="21"/>
              </w:rPr>
              <w:t>1</w:t>
            </w:r>
            <w:r>
              <w:rPr>
                <w:rFonts w:ascii="仿宋_GB2312" w:hAnsi="仿宋_GB2312" w:cs="仿宋_GB2312" w:eastAsia="仿宋_GB2312"/>
                <w:sz w:val="21"/>
              </w:rPr>
              <w:t>.85mm</w:t>
            </w:r>
            <w:r>
              <w:rPr>
                <w:rFonts w:ascii="仿宋_GB2312" w:hAnsi="仿宋_GB2312" w:cs="仿宋_GB2312" w:eastAsia="仿宋_GB2312"/>
                <w:sz w:val="21"/>
              </w:rPr>
              <w:t>接口与</w:t>
            </w:r>
            <w:r>
              <w:rPr>
                <w:rFonts w:ascii="仿宋_GB2312" w:hAnsi="仿宋_GB2312" w:cs="仿宋_GB2312" w:eastAsia="仿宋_GB2312"/>
                <w:sz w:val="21"/>
              </w:rPr>
              <w:t>1</w:t>
            </w:r>
            <w:r>
              <w:rPr>
                <w:rFonts w:ascii="仿宋_GB2312" w:hAnsi="仿宋_GB2312" w:cs="仿宋_GB2312" w:eastAsia="仿宋_GB2312"/>
                <w:sz w:val="21"/>
              </w:rPr>
              <w:t>.0mm</w:t>
            </w:r>
            <w:r>
              <w:rPr>
                <w:rFonts w:ascii="仿宋_GB2312" w:hAnsi="仿宋_GB2312" w:cs="仿宋_GB2312" w:eastAsia="仿宋_GB2312"/>
                <w:sz w:val="21"/>
              </w:rPr>
              <w:t>接口，</w:t>
            </w:r>
            <w:r>
              <w:rPr>
                <w:rFonts w:ascii="仿宋_GB2312" w:hAnsi="仿宋_GB2312" w:cs="仿宋_GB2312" w:eastAsia="仿宋_GB2312"/>
                <w:sz w:val="21"/>
              </w:rPr>
              <w:t>每套</w:t>
            </w:r>
            <w:r>
              <w:rPr>
                <w:rFonts w:ascii="仿宋_GB2312" w:hAnsi="仿宋_GB2312" w:cs="仿宋_GB2312" w:eastAsia="仿宋_GB2312"/>
                <w:sz w:val="21"/>
              </w:rPr>
              <w:t>内包含公、</w:t>
            </w:r>
            <w:r>
              <w:rPr>
                <w:rFonts w:ascii="仿宋_GB2312" w:hAnsi="仿宋_GB2312" w:cs="仿宋_GB2312" w:eastAsia="仿宋_GB2312"/>
                <w:sz w:val="21"/>
              </w:rPr>
              <w:t>母</w:t>
            </w:r>
            <w:r>
              <w:rPr>
                <w:rFonts w:ascii="仿宋_GB2312" w:hAnsi="仿宋_GB2312" w:cs="仿宋_GB2312" w:eastAsia="仿宋_GB2312"/>
                <w:sz w:val="21"/>
              </w:rPr>
              <w:t>接头的开路、</w:t>
            </w:r>
            <w:r>
              <w:rPr>
                <w:rFonts w:ascii="仿宋_GB2312" w:hAnsi="仿宋_GB2312" w:cs="仿宋_GB2312" w:eastAsia="仿宋_GB2312"/>
                <w:sz w:val="21"/>
              </w:rPr>
              <w:t>短路</w:t>
            </w:r>
            <w:r>
              <w:rPr>
                <w:rFonts w:ascii="仿宋_GB2312" w:hAnsi="仿宋_GB2312" w:cs="仿宋_GB2312" w:eastAsia="仿宋_GB2312"/>
                <w:sz w:val="21"/>
              </w:rPr>
              <w:t>、负载，</w:t>
            </w:r>
            <w:r>
              <w:rPr>
                <w:rFonts w:ascii="仿宋_GB2312" w:hAnsi="仿宋_GB2312" w:cs="仿宋_GB2312" w:eastAsia="仿宋_GB2312"/>
                <w:sz w:val="21"/>
              </w:rPr>
              <w:t>以及</w:t>
            </w:r>
            <w:r>
              <w:rPr>
                <w:rFonts w:ascii="仿宋_GB2312" w:hAnsi="仿宋_GB2312" w:cs="仿宋_GB2312" w:eastAsia="仿宋_GB2312"/>
                <w:sz w:val="21"/>
              </w:rPr>
              <w:t>公</w:t>
            </w:r>
            <w:r>
              <w:rPr>
                <w:rFonts w:ascii="仿宋_GB2312" w:hAnsi="仿宋_GB2312" w:cs="仿宋_GB2312" w:eastAsia="仿宋_GB2312"/>
                <w:sz w:val="21"/>
              </w:rPr>
              <w:t>-</w:t>
            </w:r>
            <w:r>
              <w:rPr>
                <w:rFonts w:ascii="仿宋_GB2312" w:hAnsi="仿宋_GB2312" w:cs="仿宋_GB2312" w:eastAsia="仿宋_GB2312"/>
                <w:sz w:val="21"/>
              </w:rPr>
              <w:t>公</w:t>
            </w:r>
            <w:r>
              <w:rPr>
                <w:rFonts w:ascii="仿宋_GB2312" w:hAnsi="仿宋_GB2312" w:cs="仿宋_GB2312" w:eastAsia="仿宋_GB2312"/>
                <w:sz w:val="21"/>
              </w:rPr>
              <w:t>直通，</w:t>
            </w:r>
            <w:r>
              <w:rPr>
                <w:rFonts w:ascii="仿宋_GB2312" w:hAnsi="仿宋_GB2312" w:cs="仿宋_GB2312" w:eastAsia="仿宋_GB2312"/>
                <w:sz w:val="21"/>
              </w:rPr>
              <w:t>母</w:t>
            </w:r>
            <w:r>
              <w:rPr>
                <w:rFonts w:ascii="仿宋_GB2312" w:hAnsi="仿宋_GB2312" w:cs="仿宋_GB2312" w:eastAsia="仿宋_GB2312"/>
                <w:sz w:val="21"/>
              </w:rPr>
              <w:t>-</w:t>
            </w:r>
            <w:r>
              <w:rPr>
                <w:rFonts w:ascii="仿宋_GB2312" w:hAnsi="仿宋_GB2312" w:cs="仿宋_GB2312" w:eastAsia="仿宋_GB2312"/>
                <w:sz w:val="21"/>
              </w:rPr>
              <w:t>母</w:t>
            </w:r>
            <w:r>
              <w:rPr>
                <w:rFonts w:ascii="仿宋_GB2312" w:hAnsi="仿宋_GB2312" w:cs="仿宋_GB2312" w:eastAsia="仿宋_GB2312"/>
                <w:sz w:val="21"/>
              </w:rPr>
              <w:t>直通，公</w:t>
            </w:r>
            <w:r>
              <w:rPr>
                <w:rFonts w:ascii="仿宋_GB2312" w:hAnsi="仿宋_GB2312" w:cs="仿宋_GB2312" w:eastAsia="仿宋_GB2312"/>
                <w:sz w:val="21"/>
              </w:rPr>
              <w:t>-母直通</w:t>
            </w:r>
            <w:r>
              <w:rPr>
                <w:rFonts w:ascii="仿宋_GB2312" w:hAnsi="仿宋_GB2312" w:cs="仿宋_GB2312" w:eastAsia="仿宋_GB2312"/>
                <w:sz w:val="21"/>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21"/>
              </w:rPr>
              <w:t>2.配备测试线缆，1.85mm 母转公测试线缆4根，长度≥0.6m；1.0mm 母转公测试线缆4根，长度≥0.16m，要求测试线缆为原厂测试线缆</w:t>
            </w:r>
            <w:r>
              <w:rPr>
                <w:rFonts w:ascii="仿宋_GB2312" w:hAnsi="仿宋_GB2312" w:cs="仿宋_GB2312" w:eastAsia="仿宋_GB2312"/>
                <w:sz w:val="21"/>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21"/>
              </w:rPr>
              <w:t>3.配备校准件三套，频率范围分别覆盖50GHz～75GHz，75GHz～110GHz，110GHz～170GHz；每套包含波导负载、偏移片、短路片、直波导，校准件表面镀金。波导负载回波损耗≥35dB，直波导回波损耗≥35dB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▲4.配备测试天线：频率范围33GHz～50GHz标准增益喇叭天线，增益20dBi,VSWR</w:t>
            </w:r>
            <w:r>
              <w:rPr>
                <w:rFonts w:ascii="仿宋_GB2312" w:hAnsi="仿宋_GB2312" w:cs="仿宋_GB2312" w:eastAsia="仿宋_GB2312"/>
                <w:sz w:val="21"/>
              </w:rPr>
              <w:t>≤</w:t>
            </w:r>
            <w:r>
              <w:rPr>
                <w:rFonts w:ascii="仿宋_GB2312" w:hAnsi="仿宋_GB2312" w:cs="仿宋_GB2312" w:eastAsia="仿宋_GB2312"/>
                <w:sz w:val="21"/>
              </w:rPr>
              <w:t>1.2，数量2只；频率范围50GHz～75GHz标准增益喇叭天线，增益20dBi,VSWR≤1.2，数量2只；频率范围75GHz～110GHz标准增益喇叭天线，增益25dBi,VSWR≤1.2，数量2只；频率范围110GHz～170GHz透镜天线,方向性系数：40dBi（典型值）; S11:-14dB（典型值），数量2只。</w:t>
            </w:r>
          </w:p>
          <w:p>
            <w:pPr>
              <w:pStyle w:val="null3"/>
              <w:jc w:val="left"/>
            </w:pPr>
            <w:r>
              <w:rPr>
                <w:rFonts w:ascii="仿宋_GB2312" w:hAnsi="仿宋_GB2312" w:cs="仿宋_GB2312" w:eastAsia="仿宋_GB2312"/>
                <w:sz w:val="21"/>
              </w:rPr>
              <w:t>5.配备WR10-1.0mm（母头）波同转换器2只，WR10-1.0mm（公头）波同转换器2只，驻波≤1.4，插入损耗≤1.0dB；WR15-1.0mm（母头）波同转换器2只，WR15-1.0mm（公头）波同转换器2只，驻波≤1.4，插入损耗≤1.0dB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6.配备WR15-1.85mm（母头）波同转换器4只，WR15-1.85mm（公头）波同转换器4只，驻波≤1.4，插入损耗≤0.8dB；配备WR19-1.85mm（母头）波同转换器4只，WR19-1.85mm（公头）波同转换器4只，驻波≤1.4，插入损耗≤0.6dB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7.配备固定衰减器：</w:t>
            </w:r>
          </w:p>
          <w:p>
            <w:pPr>
              <w:pStyle w:val="null3"/>
              <w:jc w:val="left"/>
            </w:pPr>
            <w:r>
              <w:rPr>
                <w:rFonts w:ascii="仿宋_GB2312" w:hAnsi="仿宋_GB2312" w:cs="仿宋_GB2312" w:eastAsia="仿宋_GB2312"/>
                <w:sz w:val="21"/>
              </w:rPr>
              <w:t>7.1 工作频率范围50GHz～75GHz衰减器3只，衰减量分别为10dB（带内平坦度±0.5dB）、20dB（平坦度±1.0dB）,30dB（平坦度±1.5dB），驻波≤1.1，功率容量≥10W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7.2工作频率范围75GHz～110GHz衰减器3只，衰减量分别为10dB（带内平坦度±0.5dB）、20dB（平坦度±1.0dB）,30dB（平坦度±1.5dB），驻波≤1.1，功率容量≥8W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7.3工作频率范围110GHz～170GHz衰减器3只，衰减量分别为10dB（带内平坦度±0.5dB）、20dB（平坦度±1.0dB）,30dB（平坦度±1.5dB），驻波≤1.1，功率容量≥5W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7.4工作频率范围170GHz～260GHz衰减器3只，衰减量分别为10dB（带内平坦度±0.5dB）、20dB（平坦度±1.0dB）,30dB（平坦度±1.5dB），驻波≤1.1，功率容量≥2W。</w:t>
            </w:r>
          </w:p>
          <w:p>
            <w:pPr>
              <w:pStyle w:val="null3"/>
            </w:pPr>
            <w:r>
              <w:rPr>
                <w:rFonts w:ascii="仿宋_GB2312" w:hAnsi="仿宋_GB2312" w:cs="仿宋_GB2312" w:eastAsia="仿宋_GB2312"/>
                <w:sz w:val="21"/>
                <w:b/>
              </w:rPr>
              <w:t>注：</w:t>
            </w:r>
            <w:r>
              <w:rPr>
                <w:rFonts w:ascii="仿宋_GB2312" w:hAnsi="仿宋_GB2312" w:cs="仿宋_GB2312" w:eastAsia="仿宋_GB2312"/>
                <w:sz w:val="21"/>
                <w:b/>
              </w:rPr>
              <w:t>“★”“▲”号技术指标需要提供包括但不限于：产品彩页或技术白皮书或检测报告或官网截图等证明材料予以佐证。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签订合同后45日历日内供货并安装调试完毕。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合同签订后，供应商开具合同金额80%银行保函，采购人收到银行保函正本后（银行保函有效期：自开具之日起6个月）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待验收合格后，采购人退还银行保函正本。凭中标供应商开具全额增值税专用发票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10个日历日内，由采购人、中标人共同对设备进行开箱检查，检查内容包括：设备名称、规格型号、配置要求、制造商、原产地等。若设备与合同要求不符，采购人将拒绝接收。（2）技术验收：交收检验合格后，设备由中标人负责安装调试。安装调试完毕后，中标人提交验收文件，由使用单位对设备进行技术验收（中标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整个项目质保期自验收之日起不得少于3年，供应商承诺的质保时间超过上述要求的，按其承诺时间执行。质保期内中标人应提供维修服务及本项目中货物的维修所需零配件，质保期内维修或更换产生的材料费及人工费属于质保范畴不再单独收费；在质保期内，产品出现故障，供应商需要返厂维修或更换的，需要供应商承担设备流转所产生的费用，包括检验费、运费、保险费、仓储费和装卸费。质保期满后，中标人提供终身维修，货物维修更换的零部件只收取材料成本费用。 2）供应商须免费提供一次设备移机服务。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2.采购人提出问题及维修要求后，保修期内，保证在4小时内做出答复，48小时到达现场进行维修服务，提供每年不少于1次的设备校准服务，并对前2-3次的常规维护提供现场技术支持。 3.设备安装调试完毕后，中标人的技术人员必须对采购人的设备使用人员进行操作应用、安全防护及维护保养方面的技能培训。培训内容包括但不限于仪器结构介绍、仪器使用操作、基本制样方法、日常保养及维护等。培训人和时间安排可由采购人定，操作人员的基本培训在仪器的安装现场进行，如确实需外出培训的由中标人组织；培训期间，培训人员的所有费用由中标人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仲裁费应由败诉方负担。在仲裁期间，除正在进行仲裁部分外，合同其他部分继续执行，具体见招标文件。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3.4商务要求不允许负偏离。2）本国产品价格扣除：根据《国务院办公厅关于在政府采购中实施本国产品标准及相关政策的通知》国办发〔2025〕34号，符合本国产品标准的可享受价格扣除（本项目不适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(①社会保障资金缴纳证明：提供2025年1月1日至今已缴存的任一月份的社会保障资金缴存单据或社保机构开具的社会保险参保缴费情况证明，依法不需要缴纳社会保障资金的投标人应提供相关文件证明； ）；②提供2025年1月1日至今已缴纳的至少一个月的纳税证明或完税证明，依法免税的单位应提供相关证明材料）；5.具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代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1.投标产品的技术指标和功能中，“★”号技术指标为实质性要求，负偏离视为无效投标； “▲”号技术指标完全满足招标文件要求计20分，每有一条负偏离扣4分，扣完为止。 2.投标产品的技术指标和功能中非“★”、“▲”号技术指标完全满足招标文件要求计15分，每有一条负偏离扣1分，扣完为止。 注：以一级序号阿拉伯数字（如 “1.”“2.”“3.”…“1.1”“1.2”“1.3”…）为一项（标题除外）；阿拉伯数字序号下有多级序号的，以最小级阿拉伯数字序号为1项。</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产品技术响应表.docx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的实施方案方案至少包括：①拟投入本项目的人员配备、职责分工安排、技术能力：②货源组织、运输方案；③实施进度保障措施；④质量保障措施。每具有一项得4分，最多得16分。在此基础上，方案内容要素中每存在一处缺陷扣0.5分，每项最多扣4分，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提供投标人2022年01月01日至投标截止时间同类业绩，每提供1个得1分，最高得3分。（以合同签订时间为准，提供合同复印件）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至少包含①具体培训方式；②培训时间、地点安排；③培训人员资质情况；④培训内容安排情况。每具有一项得1.5分，最多得6分。在此基础上，方案内容要素中每存在一处缺陷扣0.5分，每项最多扣1.5分，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至少包含：①售后服务专职人员安排及承诺②售后响应时间保障措施；③备品、配件保障措施④售后巡查及维护安排。每具有一项得2.5分，最多得10分。在此基础上，方案内容要素中每存在一处缺陷扣0.5分，每项最多扣2.5分，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详见附件：货物类合同模板-国产.docx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