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版本号：RH采字【20251110】号20251113001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生物透射电镜采购项目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RH采字【20251110】号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生物透射电镜采购项目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RH采字【20251110】号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生物透射电镜采购项目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西北大学生物透射电镜采购项目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9、进口产品授权书：如为进口产品，投标人须提供所投产品的授权证明文件（证明文件能显示产品制造商对所投产品的授权链条完整有效）。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西北大学高分辨单分子光电谱学显微测量仪采购项目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5,500,000.00</w:t>
      </w:r>
    </w:p>
    <w:p>
      <w:pPr>
        <w:pStyle w:val="null3"/>
      </w:pPr>
      <w:r>
        <w:rPr>
          <w:rFonts w:ascii="仿宋_GB2312" w:hAnsi="仿宋_GB2312" w:cs="仿宋_GB2312" w:eastAsia="仿宋_GB2312"/>
        </w:rPr>
        <w:t>采购包最高限价（元）: 5,500,000.00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生物透射电镜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标的名称：生物透射电镜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1.技术规格</w:t>
            </w:r>
          </w:p>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2"/>
              </w:rPr>
              <w:t>1.1分辨率：≤0.2nm（100KV）</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w:t>
            </w:r>
            <w:r>
              <w:rPr>
                <w:rFonts w:ascii="仿宋_GB2312" w:hAnsi="仿宋_GB2312" w:cs="仿宋_GB2312" w:eastAsia="仿宋_GB2312"/>
                <w:sz w:val="22"/>
              </w:rPr>
              <w:t>1</w:t>
            </w:r>
            <w:r>
              <w:rPr>
                <w:rFonts w:ascii="仿宋_GB2312" w:hAnsi="仿宋_GB2312" w:cs="仿宋_GB2312" w:eastAsia="仿宋_GB2312"/>
                <w:sz w:val="22"/>
              </w:rPr>
              <w:t>.2加速电压：</w:t>
            </w:r>
          </w:p>
          <w:p>
            <w:pPr>
              <w:pStyle w:val="null3"/>
              <w:jc w:val="both"/>
            </w:pPr>
            <w:r>
              <w:rPr>
                <w:rFonts w:ascii="仿宋_GB2312" w:hAnsi="仿宋_GB2312" w:cs="仿宋_GB2312" w:eastAsia="仿宋_GB2312"/>
                <w:sz w:val="22"/>
              </w:rPr>
              <w:t>20</w:t>
            </w:r>
            <w:r>
              <w:rPr>
                <w:rFonts w:ascii="仿宋_GB2312" w:hAnsi="仿宋_GB2312" w:cs="仿宋_GB2312" w:eastAsia="仿宋_GB2312"/>
                <w:sz w:val="22"/>
              </w:rPr>
              <w:t>～</w:t>
            </w:r>
            <w:r>
              <w:rPr>
                <w:rFonts w:ascii="仿宋_GB2312" w:hAnsi="仿宋_GB2312" w:cs="仿宋_GB2312" w:eastAsia="仿宋_GB2312"/>
                <w:sz w:val="22"/>
              </w:rPr>
              <w:t>120KV,步长≤100V（高速）连续可调</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.3电子枪：</w:t>
            </w:r>
            <w:r>
              <w:rPr>
                <w:rFonts w:ascii="仿宋_GB2312" w:hAnsi="仿宋_GB2312" w:cs="仿宋_GB2312" w:eastAsia="仿宋_GB2312"/>
                <w:sz w:val="22"/>
              </w:rPr>
              <w:t>钨灯丝</w:t>
            </w:r>
            <w:r>
              <w:rPr>
                <w:rFonts w:ascii="仿宋_GB2312" w:hAnsi="仿宋_GB2312" w:cs="仿宋_GB2312" w:eastAsia="仿宋_GB2312"/>
                <w:sz w:val="22"/>
              </w:rPr>
              <w:t>，具有</w:t>
            </w:r>
            <w:r>
              <w:rPr>
                <w:rFonts w:ascii="仿宋_GB2312" w:hAnsi="仿宋_GB2312" w:cs="仿宋_GB2312" w:eastAsia="仿宋_GB2312"/>
                <w:sz w:val="22"/>
              </w:rPr>
              <w:t>电流自动控制，灯丝计时，气压式自动升枪等功能，配置六硼化镧灯丝</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w:t>
            </w:r>
            <w:r>
              <w:rPr>
                <w:rFonts w:ascii="仿宋_GB2312" w:hAnsi="仿宋_GB2312" w:cs="仿宋_GB2312" w:eastAsia="仿宋_GB2312"/>
                <w:sz w:val="22"/>
              </w:rPr>
              <w:t>1</w:t>
            </w:r>
            <w:r>
              <w:rPr>
                <w:rFonts w:ascii="仿宋_GB2312" w:hAnsi="仿宋_GB2312" w:cs="仿宋_GB2312" w:eastAsia="仿宋_GB2312"/>
                <w:sz w:val="22"/>
              </w:rPr>
              <w:t>.4观察模式：</w:t>
            </w:r>
          </w:p>
          <w:p>
            <w:pPr>
              <w:pStyle w:val="null3"/>
              <w:jc w:val="both"/>
            </w:pPr>
            <w:r>
              <w:rPr>
                <w:rFonts w:ascii="仿宋_GB2312" w:hAnsi="仿宋_GB2312" w:cs="仿宋_GB2312" w:eastAsia="仿宋_GB2312"/>
                <w:sz w:val="22"/>
              </w:rPr>
              <w:t>双隙电磁物镜设计，不更换硬件的前提下，可在同一台仪器上实现物镜的高分辨和高反差模式的一键切换</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.5放大倍数(底片倍数)：X50～X600,000（数码放大≥1,000,000）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b/>
              </w:rPr>
              <w:t>▲</w:t>
            </w:r>
            <w:r>
              <w:rPr>
                <w:rFonts w:ascii="仿宋_GB2312" w:hAnsi="仿宋_GB2312" w:cs="仿宋_GB2312" w:eastAsia="仿宋_GB2312"/>
                <w:sz w:val="22"/>
              </w:rPr>
              <w:t>1</w:t>
            </w:r>
            <w:r>
              <w:rPr>
                <w:rFonts w:ascii="仿宋_GB2312" w:hAnsi="仿宋_GB2312" w:cs="仿宋_GB2312" w:eastAsia="仿宋_GB2312"/>
                <w:sz w:val="22"/>
              </w:rPr>
              <w:t>.6使用COMS荧光屏相机，将TEM操作统一于显示器上，可以在CMOS荧光屏进行活图像找样、测样工作。 像素：</w:t>
            </w:r>
            <w:r>
              <w:rPr>
                <w:rFonts w:ascii="仿宋_GB2312" w:hAnsi="仿宋_GB2312" w:cs="仿宋_GB2312" w:eastAsia="仿宋_GB2312"/>
                <w:sz w:val="21"/>
              </w:rPr>
              <w:t>≥</w:t>
            </w:r>
            <w:r>
              <w:rPr>
                <w:rFonts w:ascii="仿宋_GB2312" w:hAnsi="仿宋_GB2312" w:cs="仿宋_GB2312" w:eastAsia="仿宋_GB2312"/>
                <w:sz w:val="22"/>
              </w:rPr>
              <w:t>1024×1024，帧率≥1</w:t>
            </w:r>
            <w:r>
              <w:rPr>
                <w:rFonts w:ascii="仿宋_GB2312" w:hAnsi="仿宋_GB2312" w:cs="仿宋_GB2312" w:eastAsia="仿宋_GB2312"/>
                <w:sz w:val="22"/>
              </w:rPr>
              <w:t>60</w:t>
            </w:r>
            <w:r>
              <w:rPr>
                <w:rFonts w:ascii="仿宋_GB2312" w:hAnsi="仿宋_GB2312" w:cs="仿宋_GB2312" w:eastAsia="仿宋_GB2312"/>
                <w:sz w:val="22"/>
              </w:rPr>
              <w:t>fps,</w:t>
            </w:r>
            <w:r>
              <w:rPr>
                <w:rFonts w:ascii="仿宋_GB2312" w:hAnsi="仿宋_GB2312" w:cs="仿宋_GB2312" w:eastAsia="仿宋_GB2312"/>
                <w:sz w:val="21"/>
              </w:rPr>
              <w:t xml:space="preserve"> </w:t>
            </w:r>
            <w:r>
              <w:rPr>
                <w:rFonts w:ascii="仿宋_GB2312" w:hAnsi="仿宋_GB2312" w:cs="仿宋_GB2312" w:eastAsia="仿宋_GB2312"/>
                <w:sz w:val="22"/>
              </w:rPr>
              <w:t>束流测量</w:t>
            </w:r>
            <w:r>
              <w:rPr>
                <w:rFonts w:ascii="仿宋_GB2312" w:hAnsi="仿宋_GB2312" w:cs="仿宋_GB2312" w:eastAsia="仿宋_GB2312"/>
                <w:sz w:val="22"/>
              </w:rPr>
              <w:t>10</w:t>
            </w:r>
            <w:r>
              <w:rPr>
                <w:rFonts w:ascii="仿宋_GB2312" w:hAnsi="仿宋_GB2312" w:cs="仿宋_GB2312" w:eastAsia="仿宋_GB2312"/>
                <w:sz w:val="22"/>
                <w:vertAlign w:val="superscript"/>
              </w:rPr>
              <w:t>-11</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vertAlign w:val="superscript"/>
              </w:rPr>
              <w:t>-8</w:t>
            </w:r>
            <w:r>
              <w:rPr>
                <w:rFonts w:ascii="仿宋_GB2312" w:hAnsi="仿宋_GB2312" w:cs="仿宋_GB2312" w:eastAsia="仿宋_GB2312"/>
                <w:sz w:val="22"/>
              </w:rPr>
              <w:t>(A)</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8"/>
                <w:b/>
              </w:rPr>
              <w:t>▲</w:t>
            </w:r>
            <w:r>
              <w:rPr>
                <w:rFonts w:ascii="仿宋_GB2312" w:hAnsi="仿宋_GB2312" w:cs="仿宋_GB2312" w:eastAsia="仿宋_GB2312"/>
                <w:sz w:val="22"/>
              </w:rPr>
              <w:t>1</w:t>
            </w:r>
            <w:r>
              <w:rPr>
                <w:rFonts w:ascii="仿宋_GB2312" w:hAnsi="仿宋_GB2312" w:cs="仿宋_GB2312" w:eastAsia="仿宋_GB2312"/>
                <w:sz w:val="22"/>
              </w:rPr>
              <w:t>.7两端支撑式（前端宝石）高稳定样品杆。配置单样品杆、三样品杆各一套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.8样品台：</w:t>
            </w:r>
          </w:p>
          <w:p>
            <w:pPr>
              <w:pStyle w:val="null3"/>
              <w:jc w:val="both"/>
            </w:pPr>
            <w:r>
              <w:rPr>
                <w:rFonts w:ascii="仿宋_GB2312" w:hAnsi="仿宋_GB2312" w:cs="仿宋_GB2312" w:eastAsia="仿宋_GB2312"/>
                <w:sz w:val="22"/>
              </w:rPr>
              <w:t>优中心侧插式测角台，样品台倾斜角：</w:t>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2"/>
              </w:rPr>
              <w:t>样品承载网：直径</w:t>
            </w:r>
            <w:r>
              <w:rPr>
                <w:rFonts w:ascii="仿宋_GB2312" w:hAnsi="仿宋_GB2312" w:cs="仿宋_GB2312" w:eastAsia="仿宋_GB2312"/>
                <w:sz w:val="22"/>
              </w:rPr>
              <w:t>=</w:t>
            </w:r>
            <w:r>
              <w:rPr>
                <w:rFonts w:ascii="仿宋_GB2312" w:hAnsi="仿宋_GB2312" w:cs="仿宋_GB2312" w:eastAsia="仿宋_GB2312"/>
                <w:sz w:val="22"/>
              </w:rPr>
              <w:t>3mm</w:t>
            </w:r>
          </w:p>
          <w:p>
            <w:pPr>
              <w:pStyle w:val="null3"/>
              <w:jc w:val="both"/>
            </w:pPr>
            <w:r>
              <w:rPr>
                <w:rFonts w:ascii="仿宋_GB2312" w:hAnsi="仿宋_GB2312" w:cs="仿宋_GB2312" w:eastAsia="仿宋_GB2312"/>
                <w:sz w:val="22"/>
              </w:rPr>
              <w:t>样品台行程：</w:t>
            </w:r>
            <w:r>
              <w:rPr>
                <w:rFonts w:ascii="仿宋_GB2312" w:hAnsi="仿宋_GB2312" w:cs="仿宋_GB2312" w:eastAsia="仿宋_GB2312"/>
                <w:sz w:val="22"/>
              </w:rPr>
              <w:t>X/Y ≥2.0mm(CPU控制马达驱动)，Z ≥0.6mm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w:t>
            </w:r>
            <w:r>
              <w:rPr>
                <w:rFonts w:ascii="仿宋_GB2312" w:hAnsi="仿宋_GB2312" w:cs="仿宋_GB2312" w:eastAsia="仿宋_GB2312"/>
                <w:sz w:val="22"/>
              </w:rPr>
              <w:t>照明</w:t>
            </w:r>
            <w:r>
              <w:rPr>
                <w:rFonts w:ascii="仿宋_GB2312" w:hAnsi="仿宋_GB2312" w:cs="仿宋_GB2312" w:eastAsia="仿宋_GB2312"/>
                <w:sz w:val="22"/>
              </w:rPr>
              <w:t>系统</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2级</w:t>
            </w:r>
            <w:r>
              <w:rPr>
                <w:rFonts w:ascii="仿宋_GB2312" w:hAnsi="仿宋_GB2312" w:cs="仿宋_GB2312" w:eastAsia="仿宋_GB2312"/>
                <w:sz w:val="22"/>
              </w:rPr>
              <w:t>透镜及</w:t>
            </w:r>
            <w:r>
              <w:rPr>
                <w:rFonts w:ascii="仿宋_GB2312" w:hAnsi="仿宋_GB2312" w:cs="仿宋_GB2312" w:eastAsia="仿宋_GB2312"/>
                <w:sz w:val="22"/>
              </w:rPr>
              <w:t>4孔可动光阑</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.10成像系统：≥</w:t>
            </w:r>
            <w:r>
              <w:rPr>
                <w:rFonts w:ascii="仿宋_GB2312" w:hAnsi="仿宋_GB2312" w:cs="仿宋_GB2312" w:eastAsia="仿宋_GB2312"/>
                <w:sz w:val="22"/>
              </w:rPr>
              <w:t>5</w:t>
            </w:r>
            <w:r>
              <w:rPr>
                <w:rFonts w:ascii="仿宋_GB2312" w:hAnsi="仿宋_GB2312" w:cs="仿宋_GB2312" w:eastAsia="仿宋_GB2312"/>
                <w:sz w:val="22"/>
              </w:rPr>
              <w:t>级透镜及</w:t>
            </w:r>
            <w:r>
              <w:rPr>
                <w:rFonts w:ascii="仿宋_GB2312" w:hAnsi="仿宋_GB2312" w:cs="仿宋_GB2312" w:eastAsia="仿宋_GB2312"/>
                <w:sz w:val="22"/>
              </w:rPr>
              <w:t>4</w:t>
            </w:r>
            <w:r>
              <w:rPr>
                <w:rFonts w:ascii="仿宋_GB2312" w:hAnsi="仿宋_GB2312" w:cs="仿宋_GB2312" w:eastAsia="仿宋_GB2312"/>
                <w:sz w:val="22"/>
              </w:rPr>
              <w:t>孔物镜可动光阑</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8"/>
                <w:b/>
              </w:rPr>
              <w:t>▲</w:t>
            </w:r>
            <w:r>
              <w:rPr>
                <w:rFonts w:ascii="仿宋_GB2312" w:hAnsi="仿宋_GB2312" w:cs="仿宋_GB2312" w:eastAsia="仿宋_GB2312"/>
                <w:sz w:val="22"/>
              </w:rPr>
              <w:t>1</w:t>
            </w:r>
            <w:r>
              <w:rPr>
                <w:rFonts w:ascii="仿宋_GB2312" w:hAnsi="仿宋_GB2312" w:cs="仿宋_GB2312" w:eastAsia="仿宋_GB2312"/>
                <w:sz w:val="22"/>
              </w:rPr>
              <w:t>.11物镜焦长：高反差模式焦长：≥8.0mm，</w:t>
            </w:r>
            <w:r>
              <w:rPr>
                <w:rFonts w:ascii="仿宋_GB2312" w:hAnsi="仿宋_GB2312" w:cs="仿宋_GB2312" w:eastAsia="仿宋_GB2312"/>
                <w:sz w:val="21"/>
              </w:rPr>
              <w:t>高分辨模式焦长：</w:t>
            </w:r>
            <w:r>
              <w:rPr>
                <w:rFonts w:ascii="仿宋_GB2312" w:hAnsi="仿宋_GB2312" w:cs="仿宋_GB2312" w:eastAsia="仿宋_GB2312"/>
                <w:sz w:val="21"/>
              </w:rPr>
              <w:t>≤3.8mm</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8"/>
                <w:b/>
              </w:rPr>
              <w:t>▲</w:t>
            </w:r>
            <w:r>
              <w:rPr>
                <w:rFonts w:ascii="仿宋_GB2312" w:hAnsi="仿宋_GB2312" w:cs="仿宋_GB2312" w:eastAsia="仿宋_GB2312"/>
                <w:sz w:val="22"/>
              </w:rPr>
              <w:t>1</w:t>
            </w:r>
            <w:r>
              <w:rPr>
                <w:rFonts w:ascii="仿宋_GB2312" w:hAnsi="仿宋_GB2312" w:cs="仿宋_GB2312" w:eastAsia="仿宋_GB2312"/>
                <w:sz w:val="22"/>
              </w:rPr>
              <w:t>.12图像观察和记录系统：</w:t>
            </w:r>
            <w:r>
              <w:rPr>
                <w:rFonts w:ascii="仿宋_GB2312" w:hAnsi="仿宋_GB2312" w:cs="仿宋_GB2312" w:eastAsia="仿宋_GB2312"/>
                <w:sz w:val="22"/>
              </w:rPr>
              <w:t>双相机</w:t>
            </w:r>
            <w:r>
              <w:rPr>
                <w:rFonts w:ascii="仿宋_GB2312" w:hAnsi="仿宋_GB2312" w:cs="仿宋_GB2312" w:eastAsia="仿宋_GB2312"/>
                <w:sz w:val="22"/>
              </w:rPr>
              <w:t>系统，标配</w:t>
            </w:r>
            <w:r>
              <w:rPr>
                <w:rFonts w:ascii="仿宋_GB2312" w:hAnsi="仿宋_GB2312" w:cs="仿宋_GB2312" w:eastAsia="仿宋_GB2312"/>
                <w:sz w:val="22"/>
              </w:rPr>
              <w:t>CMOS荧光屏相机和直插（非侧插及底插）CMOS主相机；</w:t>
            </w:r>
          </w:p>
          <w:p>
            <w:pPr>
              <w:pStyle w:val="null3"/>
              <w:jc w:val="both"/>
            </w:pPr>
            <w:r>
              <w:rPr>
                <w:rFonts w:ascii="仿宋_GB2312" w:hAnsi="仿宋_GB2312" w:cs="仿宋_GB2312" w:eastAsia="仿宋_GB2312"/>
                <w:sz w:val="22"/>
              </w:rPr>
              <w:t>主相机分辨率：</w:t>
            </w: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00万像素</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8"/>
                <w:b/>
              </w:rPr>
              <w:t>▲</w:t>
            </w:r>
            <w:r>
              <w:rPr>
                <w:rFonts w:ascii="仿宋_GB2312" w:hAnsi="仿宋_GB2312" w:cs="仿宋_GB2312" w:eastAsia="仿宋_GB2312"/>
                <w:sz w:val="22"/>
                <w:b/>
              </w:rPr>
              <w:t>1</w:t>
            </w:r>
            <w:r>
              <w:rPr>
                <w:rFonts w:ascii="仿宋_GB2312" w:hAnsi="仿宋_GB2312" w:cs="仿宋_GB2312" w:eastAsia="仿宋_GB2312"/>
                <w:sz w:val="22"/>
              </w:rPr>
              <w:t>.</w:t>
            </w:r>
            <w:r>
              <w:rPr>
                <w:rFonts w:ascii="仿宋_GB2312" w:hAnsi="仿宋_GB2312" w:cs="仿宋_GB2312" w:eastAsia="仿宋_GB2312"/>
                <w:sz w:val="22"/>
              </w:rPr>
              <w:t>13</w:t>
            </w:r>
            <w:r>
              <w:rPr>
                <w:rFonts w:ascii="仿宋_GB2312" w:hAnsi="仿宋_GB2312" w:cs="仿宋_GB2312" w:eastAsia="仿宋_GB2312"/>
                <w:sz w:val="22"/>
              </w:rPr>
              <w:t>配备</w:t>
            </w:r>
            <w:r>
              <w:rPr>
                <w:rFonts w:ascii="仿宋_GB2312" w:hAnsi="仿宋_GB2312" w:cs="仿宋_GB2312" w:eastAsia="仿宋_GB2312"/>
                <w:sz w:val="22"/>
              </w:rPr>
              <w:t>三维（</w:t>
            </w:r>
            <w:r>
              <w:rPr>
                <w:rFonts w:ascii="仿宋_GB2312" w:hAnsi="仿宋_GB2312" w:cs="仿宋_GB2312" w:eastAsia="仿宋_GB2312"/>
                <w:sz w:val="22"/>
              </w:rPr>
              <w:t>3D）重构功能硬件，</w:t>
            </w:r>
            <w:r>
              <w:rPr>
                <w:rFonts w:ascii="仿宋_GB2312" w:hAnsi="仿宋_GB2312" w:cs="仿宋_GB2312" w:eastAsia="仿宋_GB2312"/>
                <w:sz w:val="22"/>
              </w:rPr>
              <w:t>能够实现无人值守的自动倾转样品台、马达自动对中样品、自动拍照全过程，配置三维重构算法软件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2"/>
                <w:b/>
              </w:rPr>
              <w:t>1</w:t>
            </w:r>
            <w:r>
              <w:rPr>
                <w:rFonts w:ascii="仿宋_GB2312" w:hAnsi="仿宋_GB2312" w:cs="仿宋_GB2312" w:eastAsia="仿宋_GB2312"/>
                <w:sz w:val="22"/>
              </w:rPr>
              <w:t>.</w:t>
            </w:r>
            <w:r>
              <w:rPr>
                <w:rFonts w:ascii="仿宋_GB2312" w:hAnsi="仿宋_GB2312" w:cs="仿宋_GB2312" w:eastAsia="仿宋_GB2312"/>
                <w:sz w:val="22"/>
              </w:rPr>
              <w:t>14自动图像导航:超低倍观察，观察范围≥φ2mm</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.15自动拼图功能:高低倍下均可实现拼图，可以实现4x4张图片快速自动拼图，最大像素≥3k</w:t>
            </w:r>
            <w:r>
              <w:rPr>
                <w:rFonts w:ascii="仿宋_GB2312" w:hAnsi="仿宋_GB2312" w:cs="仿宋_GB2312" w:eastAsia="仿宋_GB2312"/>
                <w:sz w:val="21"/>
              </w:rPr>
              <w:t xml:space="preserve"> </w:t>
            </w:r>
            <w:r>
              <w:rPr>
                <w:rFonts w:ascii="仿宋_GB2312" w:hAnsi="仿宋_GB2312" w:cs="仿宋_GB2312" w:eastAsia="仿宋_GB2312"/>
                <w:sz w:val="22"/>
              </w:rPr>
              <w:t>x</w:t>
            </w:r>
            <w:r>
              <w:rPr>
                <w:rFonts w:ascii="仿宋_GB2312" w:hAnsi="仿宋_GB2312" w:cs="仿宋_GB2312" w:eastAsia="仿宋_GB2312"/>
                <w:sz w:val="22"/>
              </w:rPr>
              <w:t xml:space="preserve"> 10</w:t>
            </w:r>
            <w:r>
              <w:rPr>
                <w:rFonts w:ascii="仿宋_GB2312" w:hAnsi="仿宋_GB2312" w:cs="仿宋_GB2312" w:eastAsia="仿宋_GB2312"/>
                <w:sz w:val="22"/>
              </w:rPr>
              <w:t>k</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.16自动拍照：自动无人值守准确定位并拍摄数量≥50</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.17样品低损伤观察：低剂量电子束观察，软件界面上电子束剂量实时显示，自动预辐照功能</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.18真空系统：不使用扩散泵，配置分子泵，抽速≥300L/s，逻辑由测量值控制，真空交换仓预抽时间≤1</w:t>
            </w:r>
            <w:r>
              <w:rPr>
                <w:rFonts w:ascii="仿宋_GB2312" w:hAnsi="仿宋_GB2312" w:cs="仿宋_GB2312" w:eastAsia="仿宋_GB2312"/>
                <w:sz w:val="22"/>
              </w:rPr>
              <w:t>5</w:t>
            </w:r>
            <w:r>
              <w:rPr>
                <w:rFonts w:ascii="仿宋_GB2312" w:hAnsi="仿宋_GB2312" w:cs="仿宋_GB2312" w:eastAsia="仿宋_GB2312"/>
                <w:sz w:val="22"/>
              </w:rPr>
              <w:t>s</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8"/>
              </w:rPr>
              <w:t>▲</w:t>
            </w:r>
            <w:r>
              <w:rPr>
                <w:rFonts w:ascii="仿宋_GB2312" w:hAnsi="仿宋_GB2312" w:cs="仿宋_GB2312" w:eastAsia="仿宋_GB2312"/>
                <w:sz w:val="22"/>
              </w:rPr>
              <w:t>1</w:t>
            </w:r>
            <w:r>
              <w:rPr>
                <w:rFonts w:ascii="仿宋_GB2312" w:hAnsi="仿宋_GB2312" w:cs="仿宋_GB2312" w:eastAsia="仿宋_GB2312"/>
                <w:sz w:val="22"/>
              </w:rPr>
              <w:t>.19配置X射线能谱仪一套，窗口面积≥55mm</w:t>
            </w:r>
            <w:r>
              <w:rPr>
                <w:rFonts w:ascii="仿宋_GB2312" w:hAnsi="仿宋_GB2312" w:cs="仿宋_GB2312" w:eastAsia="仿宋_GB2312"/>
                <w:sz w:val="22"/>
                <w:vertAlign w:val="superscript"/>
              </w:rPr>
              <w:t>2</w:t>
            </w:r>
            <w:r>
              <w:rPr>
                <w:rFonts w:ascii="仿宋_GB2312" w:hAnsi="仿宋_GB2312" w:cs="仿宋_GB2312" w:eastAsia="仿宋_GB2312"/>
                <w:sz w:val="22"/>
              </w:rPr>
              <w:t>，能量分辨率</w:t>
            </w:r>
            <w:r>
              <w:rPr>
                <w:rFonts w:ascii="仿宋_GB2312" w:hAnsi="仿宋_GB2312" w:cs="仿宋_GB2312" w:eastAsia="仿宋_GB2312"/>
                <w:sz w:val="22"/>
              </w:rPr>
              <w:t>≤129eV（MnKa）。需与采购人现有设备配套安装，具备相关法兰及控制器</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.20配置工作站处理器单元一套，不低于以下配置：win10专业版，i5及以上处理器，≥1TB存储，≥16GB内存。显示器≥24英寸</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.21配置整机UPS一套，功率≥6KVA，延时≥1小时</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2"/>
                <w:b/>
              </w:rPr>
              <w:t>2</w:t>
            </w:r>
            <w:r>
              <w:rPr>
                <w:rFonts w:ascii="仿宋_GB2312" w:hAnsi="仿宋_GB2312" w:cs="仿宋_GB2312" w:eastAsia="仿宋_GB2312"/>
                <w:sz w:val="22"/>
                <w:b/>
              </w:rPr>
              <w:t>.配置清单：</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.1 120KV透射电镜主机1套</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.2 高速高灵敏CMOS荧光屏相机 1套</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.3 ≥1600万像素主相机1套</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.4 双隙物镜系统 1套</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.5 自动3D重构系统</w:t>
            </w:r>
            <w:r>
              <w:rPr>
                <w:rFonts w:ascii="仿宋_GB2312" w:hAnsi="仿宋_GB2312" w:cs="仿宋_GB2312" w:eastAsia="仿宋_GB2312"/>
                <w:sz w:val="22"/>
              </w:rPr>
              <w:t>1套</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.6 自动稳压电源1套</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2"/>
              </w:rPr>
              <w:t>2</w:t>
            </w:r>
            <w:r>
              <w:rPr>
                <w:rFonts w:ascii="仿宋_GB2312" w:hAnsi="仿宋_GB2312" w:cs="仿宋_GB2312" w:eastAsia="仿宋_GB2312"/>
                <w:sz w:val="22"/>
              </w:rPr>
              <w:t>.7 单样品杆 1套</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.8 三样品杆 1套</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.9 冷却循环水系统</w:t>
            </w:r>
            <w:r>
              <w:rPr>
                <w:rFonts w:ascii="仿宋_GB2312" w:hAnsi="仿宋_GB2312" w:cs="仿宋_GB2312" w:eastAsia="仿宋_GB2312"/>
                <w:sz w:val="22"/>
              </w:rPr>
              <w:t>1套</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.10 多功能旋钮版、轨迹球  1套</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.11 标准随机附件及工具</w:t>
            </w:r>
            <w:r>
              <w:rPr>
                <w:rFonts w:ascii="仿宋_GB2312" w:hAnsi="仿宋_GB2312" w:cs="仿宋_GB2312" w:eastAsia="仿宋_GB2312"/>
                <w:sz w:val="22"/>
              </w:rPr>
              <w:t>1套</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.12 处理器单元及显示器   1套</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.13 X射线能谱仪 1套</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sz w:val="22"/>
              </w:rPr>
              <w:t>2</w:t>
            </w:r>
            <w:r>
              <w:rPr>
                <w:rFonts w:ascii="仿宋_GB2312" w:hAnsi="仿宋_GB2312" w:cs="仿宋_GB2312" w:eastAsia="仿宋_GB2312"/>
                <w:sz w:val="22"/>
              </w:rPr>
              <w:t>.14 UPS电源  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合同签订后180日内供货，10日内安装调试到位并交付使用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西北大学太白校区生命科学学院指定地点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1、质保期：自验收合格之日起1年 2、即时响应（包括电话响应）：电话响应无法解决时，24小时内到达现场。修复时间24小时内；如24小时内无法修复，应提供相应解决方案。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【一】采购标的需实现的功能或者目标：该设备主要应用于生命科学、医学等样品的透射形貌及超微结构分析。实现相关组织学、细胞学、病毒学、病理学及材料学等多个学科的超微结构图像及分析相关研究。 【二】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三】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四】其他：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陕西省西安市曲江新区雁翔路3269号旺座曲江D座30层（纸质投标文件可邮寄，邮件发出时间应在递交电子投标文件截止时间之前，邮寄地址：陕西省西安市曲江新区雁翔路3269号旺座曲江D座30层，联系人：王工，联系电话：15091632950）。③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如为进口产品，投标人须提供所投产品的授权证明文件（证明文件能显示产品制造商对所投产品的授权链条完整有效）。</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技术参数响应满足第三章3.3技术要求中加“★”项要求，商务响应满足第三章3.4商务要求（合格），任意一条不满足（不合格）。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基本分：所投产品的技术参数完全符合、响应招标文件要求，没有负偏离计34分。 1、技术参数中标“★”项（1个）为实质性要求，不满足视为无效投标； 2、技术参数中标“▲”项（8个）满分12分，负偏离一项扣1.5分； 3、技术参数中非标“★”、“▲”项（26个）满分26分，负偏离一项扣1分； 加分项：技术参数性能优于招标文件要求，具有实际使用价值的提升，经评标委员会一致认定每项可加分，满分11分。 1、标“★”项参数技术指标和性能优于招标文件要求，每项加3分，满分3分； 2、标“▲”项参数技术指标和性能优于招标文件要求，每项加1分，满分8分。 备注：所有“★”、“▲”项和优于参数须提供佐证材料（不限于产品彩页、官网截图、第三方检测报告等），否则不予得分或加分。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根据项目实际需求提供售后服务方案。内容包含：①售后服务范围及保障措施②应急处理方案。 二、评审标准 1.完整性：方案须全面，对评审内容中的各项要求有详细描述；2.可实施性：切合本项目实际情况，提出步骤清晰、合理的方案；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投标人提供自2022年11月1日至今同类项目业绩（以签订合同时间为准），每提供一份合格业绩证明得1分，最高得5分。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有效投标人的最低报价（落实政府采购政策进行价格调整的，以调整后的价格计算）为基准价得35分，其他各投标人的报价得分按下列公式计算：（基准价/投标报价）×35％×100。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详见附件：节能环保产品.docx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