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1E804D">
      <w:pPr>
        <w:snapToGrid w:val="0"/>
        <w:spacing w:before="156" w:beforeLines="50"/>
        <w:jc w:val="both"/>
        <w:rPr>
          <w:rFonts w:hint="default" w:ascii="宋体" w:hAnsi="宋体" w:eastAsia="宋体" w:cs="宋体"/>
          <w:b w:val="0"/>
          <w:bCs w:val="0"/>
          <w:kern w:val="0"/>
          <w:lang w:val="en-US" w:eastAsia="zh-CN"/>
        </w:rPr>
      </w:pPr>
      <w:r>
        <w:rPr>
          <w:rFonts w:hint="eastAsia" w:ascii="宋体" w:hAnsi="宋体" w:cs="宋体"/>
          <w:b w:val="0"/>
          <w:bCs w:val="0"/>
          <w:kern w:val="0"/>
          <w:lang w:eastAsia="zh-CN"/>
        </w:rPr>
        <w:t>采购包</w:t>
      </w:r>
      <w:r>
        <w:rPr>
          <w:rFonts w:hint="eastAsia" w:ascii="宋体" w:hAnsi="宋体" w:cs="宋体"/>
          <w:b w:val="0"/>
          <w:bCs w:val="0"/>
          <w:kern w:val="0"/>
          <w:lang w:val="en-US" w:eastAsia="zh-CN"/>
        </w:rPr>
        <w:t>1：</w:t>
      </w:r>
    </w:p>
    <w:p w14:paraId="333E1463">
      <w:pPr>
        <w:snapToGrid w:val="0"/>
        <w:spacing w:before="156" w:beforeLines="50"/>
        <w:ind w:firstLine="5431" w:firstLineChars="2576"/>
        <w:jc w:val="both"/>
        <w:rPr>
          <w:rFonts w:hint="eastAsia" w:ascii="宋体" w:hAnsi="宋体"/>
          <w:color w:val="FF0000"/>
        </w:rPr>
      </w:pPr>
      <w:r>
        <w:rPr>
          <w:rFonts w:hint="eastAsia" w:ascii="宋体" w:hAnsi="宋体" w:cs="宋体"/>
          <w:b/>
          <w:bCs/>
          <w:kern w:val="0"/>
        </w:rPr>
        <w:t>合同编号：</w:t>
      </w:r>
    </w:p>
    <w:p w14:paraId="6FA0F932">
      <w:pPr>
        <w:widowControl/>
        <w:spacing w:before="156" w:beforeLines="50" w:after="156" w:afterLines="50"/>
        <w:ind w:firstLine="643" w:firstLineChars="200"/>
        <w:jc w:val="center"/>
        <w:rPr>
          <w:rFonts w:hint="eastAsia" w:ascii="宋体" w:hAnsi="宋体" w:cs="宋体"/>
          <w:b/>
          <w:bCs/>
          <w:color w:val="000000"/>
          <w:kern w:val="0"/>
          <w:sz w:val="32"/>
          <w:szCs w:val="32"/>
        </w:rPr>
      </w:pPr>
      <w:r>
        <w:rPr>
          <w:rFonts w:hint="eastAsia" w:ascii="宋体" w:hAnsi="宋体"/>
          <w:b/>
          <w:bCs/>
          <w:color w:val="000000"/>
          <w:sz w:val="32"/>
          <w:szCs w:val="32"/>
          <w:u w:val="single"/>
        </w:rPr>
        <w:t xml:space="preserve">             </w:t>
      </w:r>
      <w:r>
        <w:rPr>
          <w:rFonts w:hint="eastAsia" w:ascii="宋体" w:hAnsi="宋体"/>
          <w:b/>
          <w:bCs/>
          <w:color w:val="000000"/>
          <w:sz w:val="32"/>
          <w:szCs w:val="32"/>
        </w:rPr>
        <w:t>供货合同</w:t>
      </w:r>
    </w:p>
    <w:p w14:paraId="0D84EE33">
      <w:pPr>
        <w:widowControl/>
        <w:ind w:firstLine="61"/>
        <w:jc w:val="both"/>
        <w:rPr>
          <w:rFonts w:hint="eastAsia" w:ascii="宋体" w:hAnsi="宋体" w:cs="宋体"/>
          <w:b/>
          <w:color w:val="000000"/>
          <w:kern w:val="0"/>
          <w:u w:val="single"/>
        </w:rPr>
      </w:pPr>
      <w:r>
        <w:rPr>
          <w:rFonts w:hint="eastAsia" w:ascii="宋体" w:hAnsi="宋体" w:cs="宋体"/>
          <w:b/>
          <w:bCs/>
          <w:color w:val="000000"/>
          <w:kern w:val="0"/>
        </w:rPr>
        <w:t xml:space="preserve">需方（以下简称“甲方”）：西安工程大学                     </w:t>
      </w:r>
    </w:p>
    <w:p w14:paraId="3FB2D7E5">
      <w:pPr>
        <w:widowControl/>
        <w:ind w:firstLine="61"/>
        <w:jc w:val="both"/>
        <w:rPr>
          <w:rFonts w:hint="eastAsia" w:ascii="宋体" w:hAnsi="宋体" w:cs="宋体"/>
          <w:b/>
          <w:bCs/>
          <w:color w:val="000000"/>
          <w:kern w:val="0"/>
        </w:rPr>
      </w:pPr>
      <w:r>
        <w:rPr>
          <w:rFonts w:hint="eastAsia" w:ascii="宋体" w:hAnsi="宋体" w:cs="宋体"/>
          <w:b/>
          <w:bCs/>
          <w:color w:val="000000"/>
          <w:kern w:val="0"/>
        </w:rPr>
        <w:t xml:space="preserve">供方（以下简称“乙方”）： </w:t>
      </w:r>
      <w:r>
        <w:rPr>
          <w:rFonts w:hint="eastAsia" w:ascii="宋体" w:hAnsi="宋体" w:cs="宋体"/>
          <w:b/>
          <w:bCs/>
          <w:color w:val="000000"/>
          <w:kern w:val="0"/>
          <w:u w:val="single"/>
        </w:rPr>
        <w:t xml:space="preserve">                   </w:t>
      </w:r>
      <w:r>
        <w:rPr>
          <w:rFonts w:hint="eastAsia" w:ascii="宋体" w:hAnsi="宋体" w:cs="宋体"/>
          <w:b/>
          <w:bCs/>
          <w:color w:val="000000"/>
          <w:kern w:val="0"/>
        </w:rPr>
        <w:t xml:space="preserve">   </w:t>
      </w:r>
    </w:p>
    <w:p w14:paraId="4B113CF7">
      <w:pPr>
        <w:widowControl/>
        <w:spacing w:line="320" w:lineRule="exact"/>
        <w:ind w:firstLine="539" w:firstLineChars="257"/>
        <w:rPr>
          <w:rFonts w:hint="eastAsia" w:ascii="宋体" w:hAnsi="宋体"/>
          <w:color w:val="000000"/>
        </w:rPr>
      </w:pPr>
      <w:r>
        <w:rPr>
          <w:rFonts w:hint="eastAsia" w:ascii="宋体" w:hAnsi="宋体"/>
          <w:color w:val="000000"/>
        </w:rPr>
        <w:t>依据《中华人民共和国民法典》等法律法规规定，以及</w:t>
      </w:r>
      <w:r>
        <w:rPr>
          <w:rFonts w:hint="eastAsia" w:ascii="宋体" w:hAnsi="宋体"/>
          <w:color w:val="000000"/>
          <w:u w:val="single"/>
        </w:rPr>
        <w:t xml:space="preserve">             </w:t>
      </w:r>
      <w:r>
        <w:rPr>
          <w:rFonts w:hint="eastAsia" w:ascii="宋体" w:hAnsi="宋体"/>
          <w:color w:val="000000"/>
        </w:rPr>
        <w:t>项目（项目编号：</w:t>
      </w:r>
      <w:r>
        <w:rPr>
          <w:rFonts w:hint="eastAsia" w:ascii="宋体" w:hAnsi="宋体"/>
          <w:color w:val="000000"/>
          <w:u w:val="single"/>
        </w:rPr>
        <w:t xml:space="preserve">        </w:t>
      </w:r>
      <w:r>
        <w:rPr>
          <w:rFonts w:hint="eastAsia" w:ascii="宋体" w:hAnsi="宋体"/>
          <w:color w:val="000000"/>
        </w:rPr>
        <w:t>）的《招标文件/竞争性谈判/磋商文件》《投标文件/竞争性谈判/磋商响应文件》《中标/成交通知书》经双方协商同意，签订本合同并信守下列条款，共同严格履行。</w:t>
      </w:r>
    </w:p>
    <w:p w14:paraId="6F5CA239">
      <w:pPr>
        <w:widowControl/>
        <w:spacing w:line="320" w:lineRule="exact"/>
        <w:ind w:firstLine="61"/>
        <w:rPr>
          <w:rFonts w:hint="eastAsia" w:ascii="宋体" w:hAnsi="宋体" w:cs="宋体"/>
          <w:color w:val="000000"/>
          <w:kern w:val="0"/>
        </w:rPr>
      </w:pPr>
      <w:r>
        <w:rPr>
          <w:rFonts w:hint="eastAsia" w:ascii="宋体" w:hAnsi="宋体" w:cs="宋体"/>
          <w:color w:val="000000"/>
          <w:kern w:val="0"/>
        </w:rPr>
        <w:t>一、</w:t>
      </w:r>
      <w:r>
        <w:rPr>
          <w:rFonts w:hint="eastAsia" w:ascii="宋体" w:hAnsi="宋体" w:cs="宋体"/>
          <w:b/>
          <w:color w:val="000000"/>
          <w:kern w:val="0"/>
        </w:rPr>
        <w:t>产品名称、数量、价格：</w:t>
      </w:r>
    </w:p>
    <w:p w14:paraId="4FC86462">
      <w:pPr>
        <w:widowControl/>
        <w:spacing w:line="320" w:lineRule="exact"/>
        <w:ind w:firstLine="420" w:firstLineChars="200"/>
        <w:rPr>
          <w:rFonts w:hint="eastAsia" w:ascii="宋体" w:hAnsi="宋体"/>
          <w:color w:val="000000"/>
        </w:rPr>
      </w:pPr>
    </w:p>
    <w:tbl>
      <w:tblPr>
        <w:tblStyle w:val="8"/>
        <w:tblpPr w:leftFromText="180" w:rightFromText="180" w:vertAnchor="text" w:horzAnchor="margin" w:tblpXSpec="center" w:tblpY="-178"/>
        <w:tblOverlap w:val="never"/>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67"/>
        <w:gridCol w:w="1079"/>
        <w:gridCol w:w="1439"/>
        <w:gridCol w:w="900"/>
        <w:gridCol w:w="900"/>
        <w:gridCol w:w="720"/>
        <w:gridCol w:w="720"/>
        <w:gridCol w:w="1080"/>
        <w:gridCol w:w="1080"/>
        <w:gridCol w:w="723"/>
      </w:tblGrid>
      <w:tr w14:paraId="7ED1F0D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3" w:hRule="atLeast"/>
        </w:trPr>
        <w:tc>
          <w:tcPr>
            <w:tcW w:w="467" w:type="dxa"/>
            <w:tcBorders>
              <w:top w:val="single" w:color="auto" w:sz="4" w:space="0"/>
              <w:left w:val="single" w:color="auto" w:sz="4" w:space="0"/>
              <w:bottom w:val="single" w:color="auto" w:sz="4" w:space="0"/>
              <w:right w:val="single" w:color="auto" w:sz="4" w:space="0"/>
            </w:tcBorders>
            <w:vAlign w:val="center"/>
          </w:tcPr>
          <w:p w14:paraId="55BFF138">
            <w:pPr>
              <w:widowControl/>
              <w:spacing w:line="320" w:lineRule="exact"/>
              <w:ind w:firstLine="61"/>
              <w:rPr>
                <w:rFonts w:hint="eastAsia" w:ascii="宋体" w:hAnsi="宋体" w:cs="宋体"/>
                <w:color w:val="000000"/>
                <w:kern w:val="0"/>
              </w:rPr>
            </w:pPr>
            <w:r>
              <w:rPr>
                <w:rFonts w:hint="eastAsia" w:ascii="宋体" w:hAnsi="宋体" w:cs="宋体"/>
                <w:color w:val="000000"/>
                <w:kern w:val="0"/>
              </w:rPr>
              <w:t>序号</w:t>
            </w:r>
          </w:p>
        </w:tc>
        <w:tc>
          <w:tcPr>
            <w:tcW w:w="1079" w:type="dxa"/>
            <w:tcBorders>
              <w:top w:val="single" w:color="auto" w:sz="4" w:space="0"/>
              <w:left w:val="single" w:color="auto" w:sz="4" w:space="0"/>
              <w:bottom w:val="single" w:color="auto" w:sz="4" w:space="0"/>
              <w:right w:val="single" w:color="auto" w:sz="4" w:space="0"/>
            </w:tcBorders>
            <w:vAlign w:val="center"/>
          </w:tcPr>
          <w:p w14:paraId="3F95E795">
            <w:pPr>
              <w:spacing w:line="320" w:lineRule="exact"/>
              <w:ind w:firstLine="61"/>
              <w:rPr>
                <w:rFonts w:hint="eastAsia" w:ascii="宋体" w:hAnsi="宋体" w:cs="宋体"/>
                <w:color w:val="000000"/>
                <w:kern w:val="0"/>
              </w:rPr>
            </w:pPr>
            <w:r>
              <w:rPr>
                <w:rFonts w:hint="eastAsia" w:ascii="宋体" w:hAnsi="宋体" w:cs="宋体"/>
                <w:color w:val="000000"/>
                <w:kern w:val="0"/>
              </w:rPr>
              <w:t>产品名称</w:t>
            </w:r>
          </w:p>
        </w:tc>
        <w:tc>
          <w:tcPr>
            <w:tcW w:w="1439" w:type="dxa"/>
            <w:tcBorders>
              <w:top w:val="single" w:color="auto" w:sz="4" w:space="0"/>
              <w:left w:val="single" w:color="auto" w:sz="4" w:space="0"/>
              <w:bottom w:val="single" w:color="auto" w:sz="4" w:space="0"/>
              <w:right w:val="single" w:color="auto" w:sz="4" w:space="0"/>
            </w:tcBorders>
            <w:vAlign w:val="center"/>
          </w:tcPr>
          <w:p w14:paraId="74E20ABB">
            <w:pPr>
              <w:widowControl/>
              <w:spacing w:line="320" w:lineRule="exact"/>
              <w:ind w:firstLine="61"/>
              <w:rPr>
                <w:rFonts w:hint="eastAsia" w:ascii="宋体" w:hAnsi="宋体" w:cs="宋体"/>
                <w:color w:val="000000"/>
                <w:kern w:val="0"/>
              </w:rPr>
            </w:pPr>
            <w:r>
              <w:rPr>
                <w:rFonts w:hint="eastAsia" w:ascii="宋体" w:hAnsi="宋体" w:cs="宋体"/>
                <w:color w:val="000000"/>
                <w:kern w:val="0"/>
              </w:rPr>
              <w:t>规格型号</w:t>
            </w:r>
          </w:p>
        </w:tc>
        <w:tc>
          <w:tcPr>
            <w:tcW w:w="900" w:type="dxa"/>
            <w:tcBorders>
              <w:top w:val="single" w:color="auto" w:sz="4" w:space="0"/>
              <w:left w:val="single" w:color="auto" w:sz="4" w:space="0"/>
              <w:bottom w:val="single" w:color="auto" w:sz="4" w:space="0"/>
              <w:right w:val="single" w:color="auto" w:sz="4" w:space="0"/>
            </w:tcBorders>
            <w:vAlign w:val="center"/>
          </w:tcPr>
          <w:p w14:paraId="1EC28C57">
            <w:pPr>
              <w:widowControl/>
              <w:spacing w:line="320" w:lineRule="exact"/>
              <w:ind w:firstLine="61"/>
              <w:rPr>
                <w:rFonts w:hint="eastAsia" w:ascii="宋体" w:hAnsi="宋体" w:cs="宋体"/>
                <w:color w:val="000000"/>
                <w:kern w:val="0"/>
              </w:rPr>
            </w:pPr>
            <w:r>
              <w:rPr>
                <w:rFonts w:hint="eastAsia" w:ascii="宋体" w:hAnsi="宋体" w:cs="宋体"/>
                <w:color w:val="000000"/>
                <w:kern w:val="0"/>
              </w:rPr>
              <w:t>品牌</w:t>
            </w:r>
          </w:p>
          <w:p w14:paraId="288EA85E">
            <w:pPr>
              <w:widowControl/>
              <w:spacing w:line="320" w:lineRule="exact"/>
              <w:ind w:firstLine="61"/>
              <w:rPr>
                <w:rFonts w:hint="eastAsia" w:ascii="宋体" w:hAnsi="宋体" w:cs="宋体"/>
                <w:color w:val="000000"/>
                <w:kern w:val="0"/>
              </w:rPr>
            </w:pPr>
            <w:r>
              <w:rPr>
                <w:rFonts w:hint="eastAsia" w:ascii="宋体" w:hAnsi="宋体" w:cs="宋体"/>
                <w:color w:val="000000"/>
                <w:kern w:val="0"/>
              </w:rPr>
              <w:t>商标</w:t>
            </w:r>
          </w:p>
        </w:tc>
        <w:tc>
          <w:tcPr>
            <w:tcW w:w="900" w:type="dxa"/>
            <w:tcBorders>
              <w:top w:val="single" w:color="auto" w:sz="4" w:space="0"/>
              <w:left w:val="single" w:color="auto" w:sz="4" w:space="0"/>
              <w:bottom w:val="single" w:color="auto" w:sz="4" w:space="0"/>
              <w:right w:val="single" w:color="auto" w:sz="4" w:space="0"/>
            </w:tcBorders>
            <w:vAlign w:val="center"/>
          </w:tcPr>
          <w:p w14:paraId="03DDF1EC">
            <w:pPr>
              <w:widowControl/>
              <w:spacing w:line="320" w:lineRule="exact"/>
              <w:ind w:left="105" w:hanging="105" w:hangingChars="50"/>
              <w:jc w:val="center"/>
              <w:rPr>
                <w:rFonts w:hint="eastAsia" w:ascii="宋体" w:hAnsi="宋体" w:cs="宋体"/>
                <w:color w:val="000000"/>
                <w:kern w:val="0"/>
              </w:rPr>
            </w:pPr>
            <w:r>
              <w:rPr>
                <w:rFonts w:hint="eastAsia" w:ascii="宋体" w:hAnsi="宋体" w:cs="宋体"/>
                <w:color w:val="000000"/>
                <w:kern w:val="0"/>
              </w:rPr>
              <w:t>生产</w:t>
            </w:r>
          </w:p>
          <w:p w14:paraId="7496A10E">
            <w:pPr>
              <w:widowControl/>
              <w:spacing w:line="320" w:lineRule="exact"/>
              <w:ind w:left="105" w:hanging="105" w:hangingChars="50"/>
              <w:jc w:val="center"/>
              <w:rPr>
                <w:rFonts w:hint="eastAsia" w:ascii="宋体" w:hAnsi="宋体" w:cs="宋体"/>
                <w:color w:val="000000"/>
                <w:kern w:val="0"/>
              </w:rPr>
            </w:pPr>
            <w:r>
              <w:rPr>
                <w:rFonts w:hint="eastAsia" w:ascii="宋体" w:hAnsi="宋体" w:cs="宋体"/>
                <w:color w:val="000000"/>
                <w:kern w:val="0"/>
              </w:rPr>
              <w:t>厂商</w:t>
            </w:r>
          </w:p>
        </w:tc>
        <w:tc>
          <w:tcPr>
            <w:tcW w:w="720" w:type="dxa"/>
            <w:tcBorders>
              <w:top w:val="single" w:color="auto" w:sz="4" w:space="0"/>
              <w:left w:val="single" w:color="auto" w:sz="4" w:space="0"/>
              <w:bottom w:val="single" w:color="auto" w:sz="4" w:space="0"/>
              <w:right w:val="single" w:color="auto" w:sz="4" w:space="0"/>
            </w:tcBorders>
            <w:vAlign w:val="center"/>
          </w:tcPr>
          <w:p w14:paraId="51AD8A60">
            <w:pPr>
              <w:widowControl/>
              <w:spacing w:line="320" w:lineRule="exact"/>
              <w:ind w:firstLine="61"/>
              <w:jc w:val="both"/>
              <w:rPr>
                <w:rFonts w:hint="eastAsia" w:ascii="宋体" w:hAnsi="宋体" w:cs="宋体"/>
                <w:color w:val="000000"/>
                <w:kern w:val="0"/>
              </w:rPr>
            </w:pPr>
            <w:r>
              <w:rPr>
                <w:rFonts w:hint="eastAsia" w:ascii="宋体" w:hAnsi="宋体" w:cs="宋体"/>
                <w:color w:val="000000"/>
                <w:kern w:val="0"/>
              </w:rPr>
              <w:t>单位</w:t>
            </w:r>
          </w:p>
        </w:tc>
        <w:tc>
          <w:tcPr>
            <w:tcW w:w="720" w:type="dxa"/>
            <w:tcBorders>
              <w:top w:val="single" w:color="auto" w:sz="4" w:space="0"/>
              <w:left w:val="single" w:color="auto" w:sz="4" w:space="0"/>
              <w:bottom w:val="single" w:color="auto" w:sz="4" w:space="0"/>
              <w:right w:val="single" w:color="auto" w:sz="4" w:space="0"/>
            </w:tcBorders>
            <w:vAlign w:val="center"/>
          </w:tcPr>
          <w:p w14:paraId="09A25B1F">
            <w:pPr>
              <w:widowControl/>
              <w:spacing w:line="320" w:lineRule="exact"/>
              <w:ind w:firstLine="61"/>
              <w:jc w:val="both"/>
              <w:rPr>
                <w:rFonts w:hint="eastAsia" w:ascii="宋体" w:hAnsi="宋体" w:cs="宋体"/>
                <w:color w:val="000000"/>
                <w:kern w:val="0"/>
              </w:rPr>
            </w:pPr>
            <w:r>
              <w:rPr>
                <w:rFonts w:hint="eastAsia" w:ascii="宋体" w:hAnsi="宋体" w:cs="宋体"/>
                <w:color w:val="000000"/>
                <w:kern w:val="0"/>
              </w:rPr>
              <w:t>数量</w:t>
            </w:r>
          </w:p>
        </w:tc>
        <w:tc>
          <w:tcPr>
            <w:tcW w:w="1080" w:type="dxa"/>
            <w:tcBorders>
              <w:top w:val="single" w:color="auto" w:sz="4" w:space="0"/>
              <w:left w:val="single" w:color="auto" w:sz="4" w:space="0"/>
              <w:bottom w:val="single" w:color="auto" w:sz="4" w:space="0"/>
              <w:right w:val="single" w:color="auto" w:sz="4" w:space="0"/>
            </w:tcBorders>
            <w:vAlign w:val="center"/>
          </w:tcPr>
          <w:p w14:paraId="348E6A5C">
            <w:pPr>
              <w:widowControl/>
              <w:spacing w:line="320" w:lineRule="exact"/>
              <w:ind w:firstLine="105" w:firstLineChars="50"/>
              <w:jc w:val="both"/>
              <w:rPr>
                <w:rFonts w:hint="eastAsia" w:ascii="宋体" w:hAnsi="宋体" w:cs="宋体"/>
                <w:color w:val="000000"/>
                <w:kern w:val="0"/>
              </w:rPr>
            </w:pPr>
            <w:r>
              <w:rPr>
                <w:rFonts w:hint="eastAsia" w:ascii="宋体" w:hAnsi="宋体" w:cs="宋体"/>
                <w:color w:val="000000"/>
                <w:kern w:val="0"/>
              </w:rPr>
              <w:t>单价</w:t>
            </w:r>
          </w:p>
          <w:p w14:paraId="56932ACE">
            <w:pPr>
              <w:widowControl/>
              <w:spacing w:line="320" w:lineRule="exact"/>
              <w:ind w:firstLine="61"/>
              <w:rPr>
                <w:rFonts w:hint="eastAsia" w:ascii="宋体" w:hAnsi="宋体" w:cs="宋体"/>
                <w:color w:val="000000"/>
                <w:kern w:val="0"/>
              </w:rPr>
            </w:pPr>
            <w:r>
              <w:rPr>
                <w:rFonts w:hint="eastAsia" w:ascii="宋体" w:hAnsi="宋体" w:cs="宋体"/>
                <w:color w:val="000000"/>
                <w:kern w:val="0"/>
              </w:rPr>
              <w:t>（万元）</w:t>
            </w:r>
          </w:p>
        </w:tc>
        <w:tc>
          <w:tcPr>
            <w:tcW w:w="1080" w:type="dxa"/>
            <w:tcBorders>
              <w:top w:val="single" w:color="auto" w:sz="4" w:space="0"/>
              <w:left w:val="single" w:color="auto" w:sz="4" w:space="0"/>
              <w:bottom w:val="single" w:color="auto" w:sz="4" w:space="0"/>
              <w:right w:val="single" w:color="auto" w:sz="4" w:space="0"/>
            </w:tcBorders>
            <w:vAlign w:val="center"/>
          </w:tcPr>
          <w:p w14:paraId="66DE0371">
            <w:pPr>
              <w:widowControl/>
              <w:spacing w:line="320" w:lineRule="exact"/>
              <w:ind w:firstLine="61"/>
              <w:rPr>
                <w:rFonts w:hint="eastAsia" w:ascii="宋体" w:hAnsi="宋体" w:cs="宋体"/>
                <w:color w:val="000000"/>
                <w:kern w:val="0"/>
              </w:rPr>
            </w:pPr>
            <w:r>
              <w:rPr>
                <w:rFonts w:hint="eastAsia" w:ascii="宋体" w:hAnsi="宋体" w:cs="宋体"/>
                <w:color w:val="000000"/>
                <w:kern w:val="0"/>
              </w:rPr>
              <w:t>总金额</w:t>
            </w:r>
          </w:p>
          <w:p w14:paraId="6E36E163">
            <w:pPr>
              <w:widowControl/>
              <w:spacing w:line="320" w:lineRule="exact"/>
              <w:ind w:firstLine="61"/>
              <w:rPr>
                <w:rFonts w:hint="eastAsia" w:ascii="宋体" w:hAnsi="宋体" w:cs="宋体"/>
                <w:color w:val="000000"/>
                <w:kern w:val="0"/>
              </w:rPr>
            </w:pPr>
            <w:r>
              <w:rPr>
                <w:rFonts w:hint="eastAsia" w:ascii="宋体" w:hAnsi="宋体" w:cs="宋体"/>
                <w:color w:val="000000"/>
                <w:kern w:val="0"/>
              </w:rPr>
              <w:t>（万元）</w:t>
            </w:r>
          </w:p>
        </w:tc>
        <w:tc>
          <w:tcPr>
            <w:tcW w:w="723" w:type="dxa"/>
            <w:tcBorders>
              <w:top w:val="single" w:color="auto" w:sz="4" w:space="0"/>
              <w:left w:val="single" w:color="auto" w:sz="4" w:space="0"/>
              <w:bottom w:val="single" w:color="auto" w:sz="4" w:space="0"/>
              <w:right w:val="single" w:color="auto" w:sz="4" w:space="0"/>
            </w:tcBorders>
            <w:vAlign w:val="center"/>
          </w:tcPr>
          <w:p w14:paraId="4A717CEA">
            <w:pPr>
              <w:widowControl/>
              <w:spacing w:line="320" w:lineRule="exact"/>
              <w:ind w:firstLine="61"/>
              <w:jc w:val="both"/>
              <w:rPr>
                <w:rFonts w:hint="eastAsia" w:ascii="宋体" w:hAnsi="宋体" w:cs="宋体"/>
                <w:color w:val="000000"/>
                <w:kern w:val="0"/>
              </w:rPr>
            </w:pPr>
            <w:r>
              <w:rPr>
                <w:rFonts w:hint="eastAsia" w:ascii="宋体" w:hAnsi="宋体" w:cs="宋体"/>
                <w:color w:val="000000"/>
                <w:kern w:val="0"/>
              </w:rPr>
              <w:t>备注</w:t>
            </w:r>
          </w:p>
        </w:tc>
      </w:tr>
      <w:tr w14:paraId="2028FB7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4" w:hRule="atLeast"/>
        </w:trPr>
        <w:tc>
          <w:tcPr>
            <w:tcW w:w="467" w:type="dxa"/>
            <w:tcBorders>
              <w:top w:val="single" w:color="auto" w:sz="4" w:space="0"/>
              <w:left w:val="single" w:color="auto" w:sz="4" w:space="0"/>
              <w:bottom w:val="single" w:color="auto" w:sz="4" w:space="0"/>
              <w:right w:val="single" w:color="auto" w:sz="4" w:space="0"/>
            </w:tcBorders>
            <w:vAlign w:val="center"/>
          </w:tcPr>
          <w:p w14:paraId="5711BED9">
            <w:pPr>
              <w:spacing w:line="240" w:lineRule="auto"/>
              <w:ind w:firstLine="61"/>
              <w:jc w:val="both"/>
              <w:rPr>
                <w:rFonts w:hint="eastAsia" w:ascii="宋体" w:hAnsi="宋体"/>
                <w:b/>
                <w:color w:val="000000"/>
              </w:rPr>
            </w:pPr>
          </w:p>
        </w:tc>
        <w:tc>
          <w:tcPr>
            <w:tcW w:w="1079" w:type="dxa"/>
            <w:tcBorders>
              <w:top w:val="single" w:color="auto" w:sz="4" w:space="0"/>
              <w:left w:val="single" w:color="auto" w:sz="4" w:space="0"/>
              <w:bottom w:val="single" w:color="auto" w:sz="4" w:space="0"/>
              <w:right w:val="single" w:color="auto" w:sz="4" w:space="0"/>
            </w:tcBorders>
            <w:vAlign w:val="center"/>
          </w:tcPr>
          <w:p w14:paraId="5ED37B26">
            <w:pPr>
              <w:spacing w:line="240" w:lineRule="auto"/>
              <w:ind w:firstLine="61"/>
              <w:jc w:val="both"/>
              <w:rPr>
                <w:rFonts w:hint="eastAsia" w:ascii="宋体" w:hAnsi="宋体"/>
                <w:b/>
                <w:color w:val="000000"/>
              </w:rPr>
            </w:pPr>
          </w:p>
        </w:tc>
        <w:tc>
          <w:tcPr>
            <w:tcW w:w="1439" w:type="dxa"/>
            <w:tcBorders>
              <w:top w:val="single" w:color="auto" w:sz="4" w:space="0"/>
              <w:left w:val="single" w:color="auto" w:sz="4" w:space="0"/>
              <w:bottom w:val="single" w:color="auto" w:sz="4" w:space="0"/>
              <w:right w:val="single" w:color="auto" w:sz="4" w:space="0"/>
            </w:tcBorders>
            <w:vAlign w:val="center"/>
          </w:tcPr>
          <w:p w14:paraId="7228455B">
            <w:pPr>
              <w:spacing w:line="240" w:lineRule="auto"/>
              <w:ind w:firstLine="422" w:firstLineChars="200"/>
              <w:jc w:val="both"/>
              <w:rPr>
                <w:rFonts w:hint="eastAsia" w:ascii="宋体" w:hAnsi="宋体"/>
                <w:b/>
                <w:color w:val="000000"/>
              </w:rPr>
            </w:pPr>
          </w:p>
        </w:tc>
        <w:tc>
          <w:tcPr>
            <w:tcW w:w="900" w:type="dxa"/>
            <w:tcBorders>
              <w:top w:val="single" w:color="auto" w:sz="4" w:space="0"/>
              <w:left w:val="single" w:color="auto" w:sz="4" w:space="0"/>
              <w:bottom w:val="single" w:color="auto" w:sz="4" w:space="0"/>
              <w:right w:val="single" w:color="auto" w:sz="4" w:space="0"/>
            </w:tcBorders>
            <w:vAlign w:val="center"/>
          </w:tcPr>
          <w:p w14:paraId="0DF9AB1F">
            <w:pPr>
              <w:widowControl/>
              <w:spacing w:line="320" w:lineRule="exact"/>
              <w:ind w:firstLine="422" w:firstLineChars="200"/>
              <w:jc w:val="center"/>
              <w:rPr>
                <w:rFonts w:hint="eastAsia" w:ascii="宋体" w:hAnsi="宋体" w:cs="宋体"/>
                <w:b/>
                <w:color w:val="000000"/>
                <w:kern w:val="0"/>
              </w:rPr>
            </w:pPr>
          </w:p>
        </w:tc>
        <w:tc>
          <w:tcPr>
            <w:tcW w:w="900" w:type="dxa"/>
            <w:tcBorders>
              <w:top w:val="single" w:color="auto" w:sz="4" w:space="0"/>
              <w:left w:val="single" w:color="auto" w:sz="4" w:space="0"/>
              <w:bottom w:val="single" w:color="auto" w:sz="4" w:space="0"/>
              <w:right w:val="single" w:color="auto" w:sz="4" w:space="0"/>
            </w:tcBorders>
            <w:vAlign w:val="center"/>
          </w:tcPr>
          <w:p w14:paraId="3E268FDD">
            <w:pPr>
              <w:widowControl/>
              <w:spacing w:line="320" w:lineRule="exact"/>
              <w:ind w:firstLine="422" w:firstLineChars="200"/>
              <w:jc w:val="center"/>
              <w:rPr>
                <w:rFonts w:hint="eastAsia" w:ascii="宋体" w:hAnsi="宋体" w:cs="宋体"/>
                <w:b/>
                <w:color w:val="000000"/>
                <w:kern w:val="0"/>
              </w:rPr>
            </w:pPr>
          </w:p>
        </w:tc>
        <w:tc>
          <w:tcPr>
            <w:tcW w:w="720" w:type="dxa"/>
            <w:tcBorders>
              <w:top w:val="single" w:color="auto" w:sz="4" w:space="0"/>
              <w:left w:val="single" w:color="auto" w:sz="4" w:space="0"/>
              <w:bottom w:val="single" w:color="auto" w:sz="4" w:space="0"/>
              <w:right w:val="single" w:color="auto" w:sz="4" w:space="0"/>
            </w:tcBorders>
            <w:vAlign w:val="center"/>
          </w:tcPr>
          <w:p w14:paraId="6869F5B0">
            <w:pPr>
              <w:spacing w:line="240" w:lineRule="auto"/>
              <w:ind w:firstLine="422" w:firstLineChars="200"/>
              <w:jc w:val="both"/>
              <w:rPr>
                <w:rFonts w:hint="eastAsia" w:ascii="宋体" w:hAnsi="宋体"/>
                <w:b/>
                <w:color w:val="000000"/>
              </w:rPr>
            </w:pPr>
          </w:p>
        </w:tc>
        <w:tc>
          <w:tcPr>
            <w:tcW w:w="720" w:type="dxa"/>
            <w:tcBorders>
              <w:top w:val="single" w:color="auto" w:sz="4" w:space="0"/>
              <w:left w:val="single" w:color="auto" w:sz="4" w:space="0"/>
              <w:bottom w:val="single" w:color="auto" w:sz="4" w:space="0"/>
              <w:right w:val="single" w:color="auto" w:sz="4" w:space="0"/>
            </w:tcBorders>
            <w:vAlign w:val="center"/>
          </w:tcPr>
          <w:p w14:paraId="44034A10">
            <w:pPr>
              <w:spacing w:line="240" w:lineRule="auto"/>
              <w:ind w:firstLine="422" w:firstLineChars="200"/>
              <w:jc w:val="center"/>
              <w:rPr>
                <w:rFonts w:hint="eastAsia" w:ascii="宋体" w:hAnsi="宋体"/>
                <w:b/>
                <w:color w:val="000000"/>
              </w:rPr>
            </w:pPr>
          </w:p>
        </w:tc>
        <w:tc>
          <w:tcPr>
            <w:tcW w:w="1080" w:type="dxa"/>
            <w:tcBorders>
              <w:top w:val="single" w:color="auto" w:sz="4" w:space="0"/>
              <w:left w:val="single" w:color="auto" w:sz="4" w:space="0"/>
              <w:bottom w:val="single" w:color="auto" w:sz="4" w:space="0"/>
              <w:right w:val="single" w:color="auto" w:sz="4" w:space="0"/>
            </w:tcBorders>
            <w:vAlign w:val="center"/>
          </w:tcPr>
          <w:p w14:paraId="4D3D1B95">
            <w:pPr>
              <w:spacing w:line="240" w:lineRule="auto"/>
              <w:ind w:firstLine="422" w:firstLineChars="200"/>
              <w:jc w:val="center"/>
              <w:rPr>
                <w:rFonts w:hint="eastAsia" w:ascii="宋体" w:hAnsi="宋体"/>
                <w:b/>
                <w:color w:val="000000"/>
              </w:rPr>
            </w:pPr>
          </w:p>
        </w:tc>
        <w:tc>
          <w:tcPr>
            <w:tcW w:w="1080" w:type="dxa"/>
            <w:tcBorders>
              <w:top w:val="single" w:color="auto" w:sz="4" w:space="0"/>
              <w:left w:val="single" w:color="auto" w:sz="4" w:space="0"/>
              <w:bottom w:val="single" w:color="auto" w:sz="4" w:space="0"/>
              <w:right w:val="single" w:color="auto" w:sz="4" w:space="0"/>
            </w:tcBorders>
            <w:vAlign w:val="center"/>
          </w:tcPr>
          <w:p w14:paraId="3C57FFD1">
            <w:pPr>
              <w:widowControl/>
              <w:spacing w:line="240" w:lineRule="auto"/>
              <w:ind w:firstLine="422" w:firstLineChars="200"/>
              <w:jc w:val="center"/>
              <w:rPr>
                <w:rFonts w:hint="eastAsia" w:ascii="宋体" w:hAnsi="宋体" w:cs="宋体"/>
                <w:b/>
                <w:color w:val="000000"/>
                <w:kern w:val="0"/>
              </w:rPr>
            </w:pPr>
          </w:p>
        </w:tc>
        <w:tc>
          <w:tcPr>
            <w:tcW w:w="723" w:type="dxa"/>
            <w:tcBorders>
              <w:top w:val="single" w:color="auto" w:sz="4" w:space="0"/>
              <w:left w:val="single" w:color="auto" w:sz="4" w:space="0"/>
              <w:bottom w:val="single" w:color="auto" w:sz="4" w:space="0"/>
              <w:right w:val="single" w:color="auto" w:sz="4" w:space="0"/>
            </w:tcBorders>
            <w:vAlign w:val="center"/>
          </w:tcPr>
          <w:p w14:paraId="16FDC2DB">
            <w:pPr>
              <w:widowControl/>
              <w:spacing w:line="240" w:lineRule="auto"/>
              <w:ind w:firstLine="422" w:firstLineChars="200"/>
              <w:jc w:val="center"/>
              <w:rPr>
                <w:rFonts w:hint="eastAsia" w:ascii="宋体" w:hAnsi="宋体" w:cs="宋体"/>
                <w:b/>
                <w:color w:val="000000"/>
                <w:kern w:val="0"/>
              </w:rPr>
            </w:pPr>
          </w:p>
        </w:tc>
      </w:tr>
      <w:tr w14:paraId="6DCDB97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4" w:hRule="atLeast"/>
        </w:trPr>
        <w:tc>
          <w:tcPr>
            <w:tcW w:w="467" w:type="dxa"/>
            <w:tcBorders>
              <w:top w:val="single" w:color="auto" w:sz="4" w:space="0"/>
              <w:left w:val="single" w:color="auto" w:sz="4" w:space="0"/>
              <w:bottom w:val="single" w:color="auto" w:sz="4" w:space="0"/>
              <w:right w:val="single" w:color="auto" w:sz="4" w:space="0"/>
            </w:tcBorders>
            <w:vAlign w:val="center"/>
          </w:tcPr>
          <w:p w14:paraId="5F42D426">
            <w:pPr>
              <w:spacing w:line="240" w:lineRule="auto"/>
              <w:ind w:firstLine="61"/>
              <w:jc w:val="both"/>
              <w:rPr>
                <w:rFonts w:hint="eastAsia" w:ascii="宋体" w:hAnsi="宋体"/>
                <w:b/>
                <w:color w:val="000000"/>
              </w:rPr>
            </w:pPr>
          </w:p>
        </w:tc>
        <w:tc>
          <w:tcPr>
            <w:tcW w:w="1079" w:type="dxa"/>
            <w:tcBorders>
              <w:top w:val="single" w:color="auto" w:sz="4" w:space="0"/>
              <w:left w:val="single" w:color="auto" w:sz="4" w:space="0"/>
              <w:bottom w:val="single" w:color="auto" w:sz="4" w:space="0"/>
              <w:right w:val="single" w:color="auto" w:sz="4" w:space="0"/>
            </w:tcBorders>
            <w:vAlign w:val="center"/>
          </w:tcPr>
          <w:p w14:paraId="21D19531">
            <w:pPr>
              <w:spacing w:line="240" w:lineRule="auto"/>
              <w:ind w:firstLine="61"/>
              <w:jc w:val="both"/>
              <w:rPr>
                <w:rFonts w:hint="eastAsia" w:ascii="宋体" w:hAnsi="宋体"/>
                <w:b/>
                <w:color w:val="000000"/>
              </w:rPr>
            </w:pPr>
          </w:p>
        </w:tc>
        <w:tc>
          <w:tcPr>
            <w:tcW w:w="1439" w:type="dxa"/>
            <w:tcBorders>
              <w:top w:val="single" w:color="auto" w:sz="4" w:space="0"/>
              <w:left w:val="single" w:color="auto" w:sz="4" w:space="0"/>
              <w:bottom w:val="single" w:color="auto" w:sz="4" w:space="0"/>
              <w:right w:val="single" w:color="auto" w:sz="4" w:space="0"/>
            </w:tcBorders>
            <w:vAlign w:val="center"/>
          </w:tcPr>
          <w:p w14:paraId="0055350C">
            <w:pPr>
              <w:spacing w:line="240" w:lineRule="auto"/>
              <w:ind w:firstLine="422" w:firstLineChars="200"/>
              <w:jc w:val="both"/>
              <w:rPr>
                <w:rFonts w:hint="eastAsia" w:ascii="宋体" w:hAnsi="宋体"/>
                <w:b/>
                <w:color w:val="000000"/>
              </w:rPr>
            </w:pPr>
          </w:p>
        </w:tc>
        <w:tc>
          <w:tcPr>
            <w:tcW w:w="900" w:type="dxa"/>
            <w:tcBorders>
              <w:top w:val="single" w:color="auto" w:sz="4" w:space="0"/>
              <w:left w:val="single" w:color="auto" w:sz="4" w:space="0"/>
              <w:bottom w:val="single" w:color="auto" w:sz="4" w:space="0"/>
              <w:right w:val="single" w:color="auto" w:sz="4" w:space="0"/>
            </w:tcBorders>
            <w:vAlign w:val="center"/>
          </w:tcPr>
          <w:p w14:paraId="5FE0C255">
            <w:pPr>
              <w:widowControl/>
              <w:spacing w:line="320" w:lineRule="exact"/>
              <w:ind w:firstLine="420" w:firstLineChars="200"/>
              <w:jc w:val="center"/>
              <w:rPr>
                <w:rFonts w:hint="eastAsia" w:ascii="宋体" w:hAnsi="宋体" w:cs="宋体"/>
                <w:color w:val="000000"/>
                <w:kern w:val="0"/>
              </w:rPr>
            </w:pPr>
          </w:p>
        </w:tc>
        <w:tc>
          <w:tcPr>
            <w:tcW w:w="900" w:type="dxa"/>
            <w:tcBorders>
              <w:top w:val="single" w:color="auto" w:sz="4" w:space="0"/>
              <w:left w:val="single" w:color="auto" w:sz="4" w:space="0"/>
              <w:bottom w:val="single" w:color="auto" w:sz="4" w:space="0"/>
              <w:right w:val="single" w:color="auto" w:sz="4" w:space="0"/>
            </w:tcBorders>
            <w:vAlign w:val="center"/>
          </w:tcPr>
          <w:p w14:paraId="4C8C20D4">
            <w:pPr>
              <w:widowControl/>
              <w:spacing w:line="320" w:lineRule="exact"/>
              <w:ind w:firstLine="420" w:firstLineChars="200"/>
              <w:jc w:val="center"/>
              <w:rPr>
                <w:rFonts w:hint="eastAsia" w:ascii="宋体" w:hAnsi="宋体" w:cs="宋体"/>
                <w:color w:val="000000"/>
                <w:kern w:val="0"/>
              </w:rPr>
            </w:pPr>
          </w:p>
        </w:tc>
        <w:tc>
          <w:tcPr>
            <w:tcW w:w="720" w:type="dxa"/>
            <w:tcBorders>
              <w:top w:val="single" w:color="auto" w:sz="4" w:space="0"/>
              <w:left w:val="single" w:color="auto" w:sz="4" w:space="0"/>
              <w:bottom w:val="single" w:color="auto" w:sz="4" w:space="0"/>
              <w:right w:val="single" w:color="auto" w:sz="4" w:space="0"/>
            </w:tcBorders>
            <w:vAlign w:val="center"/>
          </w:tcPr>
          <w:p w14:paraId="36D44719">
            <w:pPr>
              <w:spacing w:line="240" w:lineRule="auto"/>
              <w:ind w:firstLine="422" w:firstLineChars="200"/>
              <w:jc w:val="center"/>
              <w:rPr>
                <w:rFonts w:hint="eastAsia" w:ascii="宋体" w:hAnsi="宋体"/>
                <w:b/>
                <w:color w:val="000000"/>
              </w:rPr>
            </w:pPr>
          </w:p>
        </w:tc>
        <w:tc>
          <w:tcPr>
            <w:tcW w:w="720" w:type="dxa"/>
            <w:tcBorders>
              <w:top w:val="single" w:color="auto" w:sz="4" w:space="0"/>
              <w:left w:val="single" w:color="auto" w:sz="4" w:space="0"/>
              <w:bottom w:val="single" w:color="auto" w:sz="4" w:space="0"/>
              <w:right w:val="single" w:color="auto" w:sz="4" w:space="0"/>
            </w:tcBorders>
            <w:vAlign w:val="center"/>
          </w:tcPr>
          <w:p w14:paraId="08B85B02">
            <w:pPr>
              <w:spacing w:line="240" w:lineRule="auto"/>
              <w:ind w:firstLine="422" w:firstLineChars="200"/>
              <w:jc w:val="center"/>
              <w:rPr>
                <w:rFonts w:hint="eastAsia" w:ascii="宋体" w:hAnsi="宋体"/>
                <w:b/>
                <w:color w:val="000000"/>
              </w:rPr>
            </w:pPr>
          </w:p>
        </w:tc>
        <w:tc>
          <w:tcPr>
            <w:tcW w:w="1080" w:type="dxa"/>
            <w:tcBorders>
              <w:top w:val="single" w:color="auto" w:sz="4" w:space="0"/>
              <w:left w:val="single" w:color="auto" w:sz="4" w:space="0"/>
              <w:bottom w:val="single" w:color="auto" w:sz="4" w:space="0"/>
              <w:right w:val="single" w:color="auto" w:sz="4" w:space="0"/>
            </w:tcBorders>
            <w:vAlign w:val="center"/>
          </w:tcPr>
          <w:p w14:paraId="238815CC">
            <w:pPr>
              <w:spacing w:line="240" w:lineRule="auto"/>
              <w:ind w:firstLine="422" w:firstLineChars="200"/>
              <w:jc w:val="center"/>
              <w:rPr>
                <w:rFonts w:hint="eastAsia" w:ascii="宋体" w:hAnsi="宋体"/>
                <w:b/>
                <w:color w:val="000000"/>
              </w:rPr>
            </w:pPr>
          </w:p>
        </w:tc>
        <w:tc>
          <w:tcPr>
            <w:tcW w:w="1080" w:type="dxa"/>
            <w:tcBorders>
              <w:top w:val="single" w:color="auto" w:sz="4" w:space="0"/>
              <w:left w:val="single" w:color="auto" w:sz="4" w:space="0"/>
              <w:bottom w:val="single" w:color="auto" w:sz="4" w:space="0"/>
              <w:right w:val="single" w:color="auto" w:sz="4" w:space="0"/>
            </w:tcBorders>
            <w:vAlign w:val="center"/>
          </w:tcPr>
          <w:p w14:paraId="36B9042F">
            <w:pPr>
              <w:widowControl/>
              <w:spacing w:line="240" w:lineRule="auto"/>
              <w:ind w:firstLine="422" w:firstLineChars="200"/>
              <w:jc w:val="center"/>
              <w:rPr>
                <w:rFonts w:hint="eastAsia" w:ascii="宋体" w:hAnsi="宋体" w:cs="宋体"/>
                <w:b/>
                <w:color w:val="000000"/>
                <w:kern w:val="0"/>
              </w:rPr>
            </w:pPr>
          </w:p>
        </w:tc>
        <w:tc>
          <w:tcPr>
            <w:tcW w:w="723" w:type="dxa"/>
            <w:tcBorders>
              <w:top w:val="single" w:color="auto" w:sz="4" w:space="0"/>
              <w:left w:val="single" w:color="auto" w:sz="4" w:space="0"/>
              <w:bottom w:val="single" w:color="auto" w:sz="4" w:space="0"/>
              <w:right w:val="single" w:color="auto" w:sz="4" w:space="0"/>
            </w:tcBorders>
            <w:vAlign w:val="center"/>
          </w:tcPr>
          <w:p w14:paraId="72E24714">
            <w:pPr>
              <w:widowControl/>
              <w:spacing w:line="240" w:lineRule="auto"/>
              <w:ind w:firstLine="422" w:firstLineChars="200"/>
              <w:jc w:val="center"/>
              <w:rPr>
                <w:rFonts w:hint="eastAsia" w:ascii="宋体" w:hAnsi="宋体" w:cs="宋体"/>
                <w:b/>
                <w:color w:val="000000"/>
                <w:kern w:val="0"/>
              </w:rPr>
            </w:pPr>
          </w:p>
        </w:tc>
      </w:tr>
      <w:tr w14:paraId="2A6C702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8" w:hRule="atLeast"/>
        </w:trPr>
        <w:tc>
          <w:tcPr>
            <w:tcW w:w="467" w:type="dxa"/>
            <w:tcBorders>
              <w:top w:val="single" w:color="auto" w:sz="4" w:space="0"/>
              <w:left w:val="single" w:color="auto" w:sz="4" w:space="0"/>
              <w:bottom w:val="single" w:color="auto" w:sz="4" w:space="0"/>
              <w:right w:val="single" w:color="auto" w:sz="4" w:space="0"/>
            </w:tcBorders>
            <w:vAlign w:val="center"/>
          </w:tcPr>
          <w:p w14:paraId="0850ACA0">
            <w:pPr>
              <w:spacing w:line="240" w:lineRule="auto"/>
              <w:ind w:firstLine="61"/>
              <w:jc w:val="both"/>
              <w:rPr>
                <w:rFonts w:hint="eastAsia" w:ascii="宋体" w:hAnsi="宋体"/>
                <w:b/>
                <w:color w:val="000000"/>
              </w:rPr>
            </w:pPr>
          </w:p>
        </w:tc>
        <w:tc>
          <w:tcPr>
            <w:tcW w:w="1079" w:type="dxa"/>
            <w:tcBorders>
              <w:top w:val="single" w:color="auto" w:sz="4" w:space="0"/>
              <w:left w:val="single" w:color="auto" w:sz="4" w:space="0"/>
              <w:bottom w:val="single" w:color="auto" w:sz="4" w:space="0"/>
              <w:right w:val="single" w:color="auto" w:sz="4" w:space="0"/>
            </w:tcBorders>
            <w:vAlign w:val="center"/>
          </w:tcPr>
          <w:p w14:paraId="19FB37FD">
            <w:pPr>
              <w:spacing w:line="240" w:lineRule="auto"/>
              <w:ind w:firstLine="61"/>
              <w:jc w:val="both"/>
              <w:rPr>
                <w:rFonts w:hint="eastAsia" w:ascii="宋体" w:hAnsi="宋体"/>
                <w:b/>
                <w:color w:val="000000"/>
              </w:rPr>
            </w:pPr>
          </w:p>
        </w:tc>
        <w:tc>
          <w:tcPr>
            <w:tcW w:w="1439" w:type="dxa"/>
            <w:tcBorders>
              <w:top w:val="single" w:color="auto" w:sz="4" w:space="0"/>
              <w:left w:val="single" w:color="auto" w:sz="4" w:space="0"/>
              <w:bottom w:val="single" w:color="auto" w:sz="4" w:space="0"/>
              <w:right w:val="single" w:color="auto" w:sz="4" w:space="0"/>
            </w:tcBorders>
            <w:vAlign w:val="center"/>
          </w:tcPr>
          <w:p w14:paraId="559FB1C9">
            <w:pPr>
              <w:spacing w:line="240" w:lineRule="auto"/>
              <w:ind w:firstLine="422" w:firstLineChars="200"/>
              <w:jc w:val="both"/>
              <w:rPr>
                <w:rFonts w:hint="eastAsia" w:ascii="宋体" w:hAnsi="宋体"/>
                <w:b/>
                <w:color w:val="000000"/>
              </w:rPr>
            </w:pPr>
          </w:p>
        </w:tc>
        <w:tc>
          <w:tcPr>
            <w:tcW w:w="900" w:type="dxa"/>
            <w:tcBorders>
              <w:top w:val="single" w:color="auto" w:sz="4" w:space="0"/>
              <w:left w:val="single" w:color="auto" w:sz="4" w:space="0"/>
              <w:bottom w:val="single" w:color="auto" w:sz="4" w:space="0"/>
              <w:right w:val="single" w:color="auto" w:sz="4" w:space="0"/>
            </w:tcBorders>
            <w:vAlign w:val="center"/>
          </w:tcPr>
          <w:p w14:paraId="6A7453CB">
            <w:pPr>
              <w:widowControl/>
              <w:spacing w:line="320" w:lineRule="exact"/>
              <w:ind w:firstLine="420" w:firstLineChars="200"/>
              <w:jc w:val="center"/>
              <w:rPr>
                <w:rFonts w:hint="eastAsia" w:ascii="宋体" w:hAnsi="宋体" w:cs="宋体"/>
                <w:color w:val="000000"/>
                <w:kern w:val="0"/>
              </w:rPr>
            </w:pPr>
          </w:p>
        </w:tc>
        <w:tc>
          <w:tcPr>
            <w:tcW w:w="900" w:type="dxa"/>
            <w:tcBorders>
              <w:top w:val="single" w:color="auto" w:sz="4" w:space="0"/>
              <w:left w:val="single" w:color="auto" w:sz="4" w:space="0"/>
              <w:bottom w:val="single" w:color="auto" w:sz="4" w:space="0"/>
              <w:right w:val="single" w:color="auto" w:sz="4" w:space="0"/>
            </w:tcBorders>
            <w:vAlign w:val="center"/>
          </w:tcPr>
          <w:p w14:paraId="0BBF828B">
            <w:pPr>
              <w:widowControl/>
              <w:spacing w:line="320" w:lineRule="exact"/>
              <w:ind w:firstLine="420" w:firstLineChars="200"/>
              <w:jc w:val="center"/>
              <w:rPr>
                <w:rFonts w:hint="eastAsia" w:ascii="宋体" w:hAnsi="宋体" w:cs="宋体"/>
                <w:color w:val="000000"/>
                <w:kern w:val="0"/>
              </w:rPr>
            </w:pPr>
          </w:p>
        </w:tc>
        <w:tc>
          <w:tcPr>
            <w:tcW w:w="720" w:type="dxa"/>
            <w:tcBorders>
              <w:top w:val="single" w:color="auto" w:sz="4" w:space="0"/>
              <w:left w:val="single" w:color="auto" w:sz="4" w:space="0"/>
              <w:bottom w:val="single" w:color="auto" w:sz="4" w:space="0"/>
              <w:right w:val="single" w:color="auto" w:sz="4" w:space="0"/>
            </w:tcBorders>
            <w:vAlign w:val="center"/>
          </w:tcPr>
          <w:p w14:paraId="4CFFC245">
            <w:pPr>
              <w:spacing w:line="240" w:lineRule="auto"/>
              <w:ind w:firstLine="422" w:firstLineChars="200"/>
              <w:jc w:val="center"/>
              <w:rPr>
                <w:rFonts w:hint="eastAsia" w:ascii="宋体" w:hAnsi="宋体"/>
                <w:b/>
                <w:color w:val="000000"/>
              </w:rPr>
            </w:pPr>
          </w:p>
        </w:tc>
        <w:tc>
          <w:tcPr>
            <w:tcW w:w="720" w:type="dxa"/>
            <w:tcBorders>
              <w:top w:val="single" w:color="auto" w:sz="4" w:space="0"/>
              <w:left w:val="single" w:color="auto" w:sz="4" w:space="0"/>
              <w:bottom w:val="single" w:color="auto" w:sz="4" w:space="0"/>
              <w:right w:val="single" w:color="auto" w:sz="4" w:space="0"/>
            </w:tcBorders>
            <w:vAlign w:val="center"/>
          </w:tcPr>
          <w:p w14:paraId="0ACCBE9D">
            <w:pPr>
              <w:spacing w:line="240" w:lineRule="auto"/>
              <w:ind w:firstLine="422" w:firstLineChars="200"/>
              <w:jc w:val="center"/>
              <w:rPr>
                <w:rFonts w:hint="eastAsia" w:ascii="宋体" w:hAnsi="宋体"/>
                <w:b/>
                <w:color w:val="000000"/>
              </w:rPr>
            </w:pPr>
          </w:p>
        </w:tc>
        <w:tc>
          <w:tcPr>
            <w:tcW w:w="1080" w:type="dxa"/>
            <w:tcBorders>
              <w:top w:val="single" w:color="auto" w:sz="4" w:space="0"/>
              <w:left w:val="single" w:color="auto" w:sz="4" w:space="0"/>
              <w:bottom w:val="single" w:color="auto" w:sz="4" w:space="0"/>
              <w:right w:val="single" w:color="auto" w:sz="4" w:space="0"/>
            </w:tcBorders>
            <w:vAlign w:val="center"/>
          </w:tcPr>
          <w:p w14:paraId="6BB955F0">
            <w:pPr>
              <w:spacing w:line="240" w:lineRule="auto"/>
              <w:ind w:firstLine="422" w:firstLineChars="200"/>
              <w:jc w:val="center"/>
              <w:rPr>
                <w:rFonts w:hint="eastAsia" w:ascii="宋体" w:hAnsi="宋体"/>
                <w:b/>
                <w:color w:val="000000"/>
              </w:rPr>
            </w:pPr>
          </w:p>
        </w:tc>
        <w:tc>
          <w:tcPr>
            <w:tcW w:w="1080" w:type="dxa"/>
            <w:tcBorders>
              <w:top w:val="single" w:color="auto" w:sz="4" w:space="0"/>
              <w:left w:val="single" w:color="auto" w:sz="4" w:space="0"/>
              <w:bottom w:val="single" w:color="auto" w:sz="4" w:space="0"/>
              <w:right w:val="single" w:color="auto" w:sz="4" w:space="0"/>
            </w:tcBorders>
            <w:vAlign w:val="center"/>
          </w:tcPr>
          <w:p w14:paraId="4022CE46">
            <w:pPr>
              <w:widowControl/>
              <w:spacing w:line="240" w:lineRule="auto"/>
              <w:ind w:firstLine="422" w:firstLineChars="200"/>
              <w:jc w:val="center"/>
              <w:rPr>
                <w:rFonts w:hint="eastAsia" w:ascii="宋体" w:hAnsi="宋体" w:cs="宋体"/>
                <w:b/>
                <w:color w:val="000000"/>
                <w:kern w:val="0"/>
              </w:rPr>
            </w:pPr>
          </w:p>
        </w:tc>
        <w:tc>
          <w:tcPr>
            <w:tcW w:w="723" w:type="dxa"/>
            <w:tcBorders>
              <w:top w:val="single" w:color="auto" w:sz="4" w:space="0"/>
              <w:left w:val="single" w:color="auto" w:sz="4" w:space="0"/>
              <w:bottom w:val="single" w:color="auto" w:sz="4" w:space="0"/>
              <w:right w:val="single" w:color="auto" w:sz="4" w:space="0"/>
            </w:tcBorders>
            <w:vAlign w:val="center"/>
          </w:tcPr>
          <w:p w14:paraId="12503776">
            <w:pPr>
              <w:widowControl/>
              <w:spacing w:line="240" w:lineRule="auto"/>
              <w:ind w:firstLine="422" w:firstLineChars="200"/>
              <w:jc w:val="center"/>
              <w:rPr>
                <w:rFonts w:hint="eastAsia" w:ascii="宋体" w:hAnsi="宋体" w:cs="宋体"/>
                <w:b/>
                <w:color w:val="000000"/>
                <w:kern w:val="0"/>
              </w:rPr>
            </w:pPr>
          </w:p>
        </w:tc>
      </w:tr>
      <w:tr w14:paraId="39B3CDE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4" w:hRule="atLeast"/>
        </w:trPr>
        <w:tc>
          <w:tcPr>
            <w:tcW w:w="467" w:type="dxa"/>
            <w:tcBorders>
              <w:top w:val="single" w:color="auto" w:sz="4" w:space="0"/>
              <w:left w:val="single" w:color="auto" w:sz="4" w:space="0"/>
              <w:bottom w:val="single" w:color="auto" w:sz="4" w:space="0"/>
              <w:right w:val="single" w:color="auto" w:sz="4" w:space="0"/>
            </w:tcBorders>
            <w:vAlign w:val="center"/>
          </w:tcPr>
          <w:p w14:paraId="1D174A2F">
            <w:pPr>
              <w:spacing w:line="240" w:lineRule="auto"/>
              <w:ind w:firstLine="61"/>
              <w:jc w:val="both"/>
              <w:rPr>
                <w:rFonts w:hint="eastAsia" w:ascii="宋体" w:hAnsi="宋体"/>
                <w:b/>
                <w:color w:val="000000"/>
              </w:rPr>
            </w:pPr>
          </w:p>
        </w:tc>
        <w:tc>
          <w:tcPr>
            <w:tcW w:w="1079" w:type="dxa"/>
            <w:tcBorders>
              <w:top w:val="single" w:color="auto" w:sz="4" w:space="0"/>
              <w:left w:val="single" w:color="auto" w:sz="4" w:space="0"/>
              <w:bottom w:val="single" w:color="auto" w:sz="4" w:space="0"/>
              <w:right w:val="single" w:color="auto" w:sz="4" w:space="0"/>
            </w:tcBorders>
            <w:vAlign w:val="center"/>
          </w:tcPr>
          <w:p w14:paraId="2185A187">
            <w:pPr>
              <w:spacing w:line="240" w:lineRule="auto"/>
              <w:ind w:firstLine="61"/>
              <w:jc w:val="both"/>
              <w:rPr>
                <w:rFonts w:hint="eastAsia" w:ascii="宋体" w:hAnsi="宋体"/>
                <w:b/>
                <w:color w:val="000000"/>
              </w:rPr>
            </w:pPr>
          </w:p>
        </w:tc>
        <w:tc>
          <w:tcPr>
            <w:tcW w:w="1439" w:type="dxa"/>
            <w:tcBorders>
              <w:top w:val="single" w:color="auto" w:sz="4" w:space="0"/>
              <w:left w:val="single" w:color="auto" w:sz="4" w:space="0"/>
              <w:bottom w:val="single" w:color="auto" w:sz="4" w:space="0"/>
              <w:right w:val="single" w:color="auto" w:sz="4" w:space="0"/>
            </w:tcBorders>
            <w:vAlign w:val="center"/>
          </w:tcPr>
          <w:p w14:paraId="1E927137">
            <w:pPr>
              <w:spacing w:line="240" w:lineRule="auto"/>
              <w:ind w:firstLine="422" w:firstLineChars="200"/>
              <w:jc w:val="both"/>
              <w:rPr>
                <w:rFonts w:hint="eastAsia" w:ascii="宋体" w:hAnsi="宋体"/>
                <w:b/>
                <w:color w:val="000000"/>
              </w:rPr>
            </w:pPr>
          </w:p>
        </w:tc>
        <w:tc>
          <w:tcPr>
            <w:tcW w:w="900" w:type="dxa"/>
            <w:tcBorders>
              <w:top w:val="single" w:color="auto" w:sz="4" w:space="0"/>
              <w:left w:val="single" w:color="auto" w:sz="4" w:space="0"/>
              <w:right w:val="single" w:color="auto" w:sz="4" w:space="0"/>
            </w:tcBorders>
            <w:vAlign w:val="center"/>
          </w:tcPr>
          <w:p w14:paraId="730E1528">
            <w:pPr>
              <w:widowControl/>
              <w:spacing w:line="320" w:lineRule="exact"/>
              <w:ind w:firstLine="420" w:firstLineChars="200"/>
              <w:jc w:val="center"/>
              <w:rPr>
                <w:rFonts w:hint="eastAsia" w:ascii="宋体" w:hAnsi="宋体" w:cs="宋体"/>
                <w:color w:val="000000"/>
                <w:kern w:val="0"/>
              </w:rPr>
            </w:pPr>
          </w:p>
        </w:tc>
        <w:tc>
          <w:tcPr>
            <w:tcW w:w="900" w:type="dxa"/>
            <w:tcBorders>
              <w:top w:val="single" w:color="auto" w:sz="4" w:space="0"/>
              <w:left w:val="single" w:color="auto" w:sz="4" w:space="0"/>
              <w:right w:val="single" w:color="auto" w:sz="4" w:space="0"/>
            </w:tcBorders>
            <w:vAlign w:val="center"/>
          </w:tcPr>
          <w:p w14:paraId="7E4E98FD">
            <w:pPr>
              <w:widowControl/>
              <w:spacing w:line="320" w:lineRule="exact"/>
              <w:ind w:firstLine="420" w:firstLineChars="200"/>
              <w:jc w:val="center"/>
              <w:rPr>
                <w:rFonts w:hint="eastAsia" w:ascii="宋体" w:hAnsi="宋体" w:cs="宋体"/>
                <w:color w:val="000000"/>
                <w:kern w:val="0"/>
              </w:rPr>
            </w:pPr>
          </w:p>
        </w:tc>
        <w:tc>
          <w:tcPr>
            <w:tcW w:w="720" w:type="dxa"/>
            <w:tcBorders>
              <w:top w:val="single" w:color="auto" w:sz="4" w:space="0"/>
              <w:left w:val="single" w:color="auto" w:sz="4" w:space="0"/>
              <w:bottom w:val="single" w:color="auto" w:sz="4" w:space="0"/>
              <w:right w:val="single" w:color="auto" w:sz="4" w:space="0"/>
            </w:tcBorders>
            <w:vAlign w:val="center"/>
          </w:tcPr>
          <w:p w14:paraId="28500CAF">
            <w:pPr>
              <w:spacing w:line="240" w:lineRule="auto"/>
              <w:ind w:firstLine="422" w:firstLineChars="200"/>
              <w:jc w:val="center"/>
              <w:rPr>
                <w:rFonts w:hint="eastAsia" w:ascii="宋体" w:hAnsi="宋体"/>
                <w:b/>
                <w:color w:val="000000"/>
              </w:rPr>
            </w:pPr>
          </w:p>
        </w:tc>
        <w:tc>
          <w:tcPr>
            <w:tcW w:w="720" w:type="dxa"/>
            <w:tcBorders>
              <w:top w:val="single" w:color="auto" w:sz="4" w:space="0"/>
              <w:left w:val="single" w:color="auto" w:sz="4" w:space="0"/>
              <w:bottom w:val="single" w:color="auto" w:sz="4" w:space="0"/>
              <w:right w:val="single" w:color="auto" w:sz="4" w:space="0"/>
            </w:tcBorders>
            <w:vAlign w:val="center"/>
          </w:tcPr>
          <w:p w14:paraId="22036945">
            <w:pPr>
              <w:spacing w:line="240" w:lineRule="auto"/>
              <w:ind w:firstLine="422" w:firstLineChars="200"/>
              <w:jc w:val="center"/>
              <w:rPr>
                <w:rFonts w:hint="eastAsia" w:ascii="宋体" w:hAnsi="宋体"/>
                <w:b/>
                <w:color w:val="000000"/>
              </w:rPr>
            </w:pPr>
          </w:p>
        </w:tc>
        <w:tc>
          <w:tcPr>
            <w:tcW w:w="1080" w:type="dxa"/>
            <w:tcBorders>
              <w:top w:val="single" w:color="auto" w:sz="4" w:space="0"/>
              <w:left w:val="single" w:color="auto" w:sz="4" w:space="0"/>
              <w:bottom w:val="single" w:color="auto" w:sz="4" w:space="0"/>
              <w:right w:val="single" w:color="auto" w:sz="4" w:space="0"/>
            </w:tcBorders>
            <w:vAlign w:val="center"/>
          </w:tcPr>
          <w:p w14:paraId="77EA51C8">
            <w:pPr>
              <w:spacing w:line="240" w:lineRule="auto"/>
              <w:ind w:firstLine="422" w:firstLineChars="200"/>
              <w:jc w:val="both"/>
              <w:rPr>
                <w:rFonts w:hint="eastAsia" w:ascii="宋体" w:hAnsi="宋体"/>
                <w:b/>
                <w:color w:val="000000"/>
              </w:rPr>
            </w:pPr>
          </w:p>
        </w:tc>
        <w:tc>
          <w:tcPr>
            <w:tcW w:w="1080" w:type="dxa"/>
            <w:tcBorders>
              <w:top w:val="single" w:color="auto" w:sz="4" w:space="0"/>
              <w:left w:val="single" w:color="auto" w:sz="4" w:space="0"/>
              <w:bottom w:val="single" w:color="auto" w:sz="4" w:space="0"/>
              <w:right w:val="single" w:color="auto" w:sz="4" w:space="0"/>
            </w:tcBorders>
            <w:vAlign w:val="center"/>
          </w:tcPr>
          <w:p w14:paraId="73505E10">
            <w:pPr>
              <w:widowControl/>
              <w:spacing w:line="240" w:lineRule="auto"/>
              <w:ind w:firstLine="422" w:firstLineChars="200"/>
              <w:jc w:val="both"/>
              <w:rPr>
                <w:rFonts w:hint="eastAsia" w:ascii="宋体" w:hAnsi="宋体" w:cs="宋体"/>
                <w:b/>
                <w:color w:val="000000"/>
                <w:kern w:val="0"/>
              </w:rPr>
            </w:pPr>
          </w:p>
        </w:tc>
        <w:tc>
          <w:tcPr>
            <w:tcW w:w="723" w:type="dxa"/>
            <w:tcBorders>
              <w:top w:val="single" w:color="auto" w:sz="4" w:space="0"/>
              <w:left w:val="single" w:color="auto" w:sz="4" w:space="0"/>
              <w:bottom w:val="single" w:color="auto" w:sz="4" w:space="0"/>
              <w:right w:val="single" w:color="auto" w:sz="4" w:space="0"/>
            </w:tcBorders>
            <w:vAlign w:val="center"/>
          </w:tcPr>
          <w:p w14:paraId="6D35881E">
            <w:pPr>
              <w:widowControl/>
              <w:spacing w:line="240" w:lineRule="auto"/>
              <w:ind w:firstLine="61"/>
              <w:jc w:val="both"/>
              <w:rPr>
                <w:rFonts w:hint="eastAsia" w:ascii="宋体" w:hAnsi="宋体" w:cs="宋体"/>
                <w:b/>
                <w:color w:val="000000"/>
                <w:kern w:val="0"/>
              </w:rPr>
            </w:pPr>
          </w:p>
        </w:tc>
      </w:tr>
      <w:tr w14:paraId="4FC834D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31" w:hRule="atLeast"/>
        </w:trPr>
        <w:tc>
          <w:tcPr>
            <w:tcW w:w="4785" w:type="dxa"/>
            <w:gridSpan w:val="5"/>
            <w:tcBorders>
              <w:top w:val="single" w:color="auto" w:sz="4" w:space="0"/>
              <w:left w:val="single" w:color="auto" w:sz="4" w:space="0"/>
              <w:bottom w:val="single" w:color="auto" w:sz="4" w:space="0"/>
              <w:right w:val="single" w:color="auto" w:sz="4" w:space="0"/>
            </w:tcBorders>
            <w:vAlign w:val="center"/>
          </w:tcPr>
          <w:p w14:paraId="41EFCDA5">
            <w:pPr>
              <w:widowControl/>
              <w:spacing w:line="320" w:lineRule="exact"/>
              <w:ind w:firstLine="61"/>
              <w:jc w:val="both"/>
              <w:rPr>
                <w:rFonts w:hint="eastAsia" w:ascii="宋体" w:hAnsi="宋体" w:cs="宋体"/>
                <w:b/>
                <w:color w:val="000000"/>
                <w:kern w:val="0"/>
              </w:rPr>
            </w:pPr>
            <w:r>
              <w:rPr>
                <w:rFonts w:hint="eastAsia" w:ascii="宋体" w:hAnsi="宋体" w:cs="宋体"/>
                <w:b/>
                <w:color w:val="000000"/>
                <w:kern w:val="0"/>
              </w:rPr>
              <w:t xml:space="preserve">合计金额（含税，大写）：               </w:t>
            </w:r>
          </w:p>
        </w:tc>
        <w:tc>
          <w:tcPr>
            <w:tcW w:w="4323" w:type="dxa"/>
            <w:gridSpan w:val="5"/>
            <w:tcBorders>
              <w:top w:val="single" w:color="auto" w:sz="4" w:space="0"/>
              <w:left w:val="single" w:color="auto" w:sz="4" w:space="0"/>
              <w:bottom w:val="single" w:color="auto" w:sz="4" w:space="0"/>
              <w:right w:val="single" w:color="auto" w:sz="4" w:space="0"/>
            </w:tcBorders>
            <w:vAlign w:val="center"/>
          </w:tcPr>
          <w:p w14:paraId="27B116E6">
            <w:pPr>
              <w:widowControl/>
              <w:spacing w:line="320" w:lineRule="exact"/>
              <w:ind w:firstLine="61"/>
              <w:jc w:val="both"/>
              <w:rPr>
                <w:rFonts w:hint="eastAsia" w:ascii="宋体" w:hAnsi="宋体" w:cs="宋体"/>
                <w:b/>
                <w:color w:val="000000"/>
                <w:kern w:val="0"/>
              </w:rPr>
            </w:pPr>
            <w:r>
              <w:rPr>
                <w:rFonts w:hint="eastAsia" w:ascii="宋体" w:hAnsi="宋体" w:cs="宋体"/>
                <w:b/>
                <w:color w:val="000000"/>
                <w:kern w:val="0"/>
              </w:rPr>
              <w:t>合计金额（含税，小写）：</w:t>
            </w:r>
          </w:p>
        </w:tc>
      </w:tr>
    </w:tbl>
    <w:p w14:paraId="4EA11525">
      <w:pPr>
        <w:widowControl/>
        <w:ind w:firstLine="70"/>
        <w:rPr>
          <w:rFonts w:hint="eastAsia" w:ascii="宋体" w:hAnsi="宋体" w:cs="宋体"/>
          <w:b/>
          <w:color w:val="000000"/>
          <w:kern w:val="0"/>
          <w:sz w:val="24"/>
          <w:szCs w:val="24"/>
        </w:rPr>
      </w:pPr>
      <w:r>
        <w:rPr>
          <w:rFonts w:hint="eastAsia" w:ascii="宋体" w:hAnsi="宋体" w:cs="宋体"/>
          <w:b/>
          <w:color w:val="000000"/>
          <w:kern w:val="0"/>
          <w:sz w:val="24"/>
          <w:szCs w:val="24"/>
        </w:rPr>
        <w:t>二、质量标准：</w:t>
      </w:r>
    </w:p>
    <w:p w14:paraId="14B506E2">
      <w:pPr>
        <w:widowControl/>
        <w:ind w:firstLine="420" w:firstLineChars="200"/>
        <w:rPr>
          <w:rFonts w:hint="eastAsia" w:ascii="宋体" w:hAnsi="宋体"/>
          <w:color w:val="000000"/>
        </w:rPr>
      </w:pPr>
      <w:r>
        <w:rPr>
          <w:rFonts w:hint="eastAsia" w:ascii="宋体" w:hAnsi="宋体"/>
          <w:color w:val="000000"/>
        </w:rPr>
        <w:t>1.乙方提供的物资（设备）必须符合中华人民共和国国家安全环保标准、国家有关产品质量认证标准。没有国家标准的，采用该产品有关行业标准（以较高标准为准）。</w:t>
      </w:r>
    </w:p>
    <w:p w14:paraId="7FD5C8CA">
      <w:pPr>
        <w:widowControl/>
        <w:ind w:firstLine="420" w:firstLineChars="200"/>
        <w:rPr>
          <w:rFonts w:hint="eastAsia" w:ascii="宋体" w:hAnsi="宋体"/>
          <w:color w:val="000000"/>
        </w:rPr>
      </w:pPr>
      <w:r>
        <w:rPr>
          <w:rFonts w:hint="eastAsia" w:ascii="宋体" w:hAnsi="宋体"/>
          <w:color w:val="000000"/>
        </w:rPr>
        <w:t>2.甲方对乙方所供物资（设备）有具体技术指标及系统功能要求的，该技术指标及系统功能经甲乙双方</w:t>
      </w:r>
      <w:r>
        <w:rPr>
          <w:rFonts w:hint="eastAsia"/>
          <w:color w:val="000000"/>
          <w:szCs w:val="24"/>
        </w:rPr>
        <w:t>书面</w:t>
      </w:r>
      <w:r>
        <w:rPr>
          <w:rFonts w:hint="eastAsia" w:ascii="宋体" w:hAnsi="宋体"/>
          <w:color w:val="000000"/>
        </w:rPr>
        <w:t>确认，作为质量验收标准。</w:t>
      </w:r>
    </w:p>
    <w:p w14:paraId="4784F288">
      <w:pPr>
        <w:widowControl/>
        <w:ind w:firstLine="420" w:firstLineChars="200"/>
        <w:rPr>
          <w:rFonts w:hint="eastAsia" w:ascii="宋体" w:hAnsi="宋体"/>
          <w:color w:val="000000"/>
        </w:rPr>
      </w:pPr>
      <w:r>
        <w:rPr>
          <w:rFonts w:hint="eastAsia" w:ascii="宋体" w:hAnsi="宋体"/>
          <w:color w:val="000000"/>
        </w:rPr>
        <w:t>3.以招投标方式采购的物资（设备），招标文件对质量有特殊要求的以双方签字确认的技术协议及招投标文件、中标通知书等文件为准。</w:t>
      </w:r>
    </w:p>
    <w:p w14:paraId="52591CB4">
      <w:pPr>
        <w:ind w:firstLine="61"/>
        <w:jc w:val="both"/>
        <w:outlineLvl w:val="0"/>
        <w:rPr>
          <w:rFonts w:hint="eastAsia" w:ascii="宋体" w:hAnsi="宋体" w:cs="宋体"/>
          <w:b/>
          <w:color w:val="000000"/>
          <w:kern w:val="0"/>
        </w:rPr>
      </w:pPr>
      <w:r>
        <w:rPr>
          <w:rFonts w:hint="eastAsia" w:ascii="宋体" w:hAnsi="宋体" w:cs="宋体"/>
          <w:b/>
          <w:color w:val="000000"/>
          <w:kern w:val="0"/>
        </w:rPr>
        <w:t>三、交货日期、方式及地点：</w:t>
      </w:r>
    </w:p>
    <w:p w14:paraId="3FAF024D">
      <w:pPr>
        <w:ind w:firstLine="420" w:firstLineChars="200"/>
        <w:jc w:val="both"/>
        <w:outlineLvl w:val="0"/>
        <w:rPr>
          <w:rFonts w:hint="eastAsia" w:ascii="宋体" w:hAnsi="宋体"/>
          <w:color w:val="000000"/>
        </w:rPr>
      </w:pPr>
      <w:r>
        <w:rPr>
          <w:rFonts w:hint="eastAsia" w:ascii="宋体" w:hAnsi="宋体"/>
          <w:color w:val="000000"/>
        </w:rPr>
        <w:t>合同签订之日起</w:t>
      </w:r>
      <w:r>
        <w:rPr>
          <w:rFonts w:hint="eastAsia" w:ascii="宋体" w:hAnsi="宋体"/>
          <w:color w:val="000000"/>
          <w:u w:val="single"/>
        </w:rPr>
        <w:t xml:space="preserve"> </w:t>
      </w:r>
      <w:r>
        <w:rPr>
          <w:rFonts w:hint="eastAsia" w:ascii="宋体" w:hAnsi="宋体"/>
          <w:b/>
          <w:color w:val="000000"/>
          <w:u w:val="single"/>
        </w:rPr>
        <w:t xml:space="preserve">   </w:t>
      </w:r>
      <w:r>
        <w:rPr>
          <w:rFonts w:hint="eastAsia" w:ascii="宋体" w:hAnsi="宋体"/>
          <w:color w:val="000000"/>
        </w:rPr>
        <w:t>天到货、安装调试并交付使用，交货地点为西安工程大学</w:t>
      </w:r>
      <w:r>
        <w:rPr>
          <w:color w:val="000000"/>
        </w:rPr>
        <w:t>XXXX</w:t>
      </w:r>
      <w:r>
        <w:rPr>
          <w:rFonts w:hint="eastAsia" w:ascii="宋体" w:hAnsi="宋体"/>
          <w:color w:val="000000"/>
        </w:rPr>
        <w:t>学院（部门）指定地点。</w:t>
      </w:r>
    </w:p>
    <w:p w14:paraId="37F826CE">
      <w:pPr>
        <w:widowControl/>
        <w:ind w:firstLine="61"/>
        <w:rPr>
          <w:rFonts w:hint="eastAsia" w:ascii="宋体" w:hAnsi="宋体" w:cs="宋体"/>
          <w:b/>
          <w:bCs/>
          <w:color w:val="000000"/>
          <w:kern w:val="0"/>
        </w:rPr>
      </w:pPr>
      <w:r>
        <w:rPr>
          <w:rFonts w:hint="eastAsia" w:ascii="宋体" w:hAnsi="宋体" w:cs="宋体"/>
          <w:b/>
          <w:color w:val="000000"/>
          <w:kern w:val="0"/>
        </w:rPr>
        <w:t>四、质保及售后承诺</w:t>
      </w:r>
    </w:p>
    <w:p w14:paraId="45F576B7">
      <w:pPr>
        <w:snapToGrid w:val="0"/>
        <w:ind w:firstLine="420" w:firstLineChars="200"/>
        <w:jc w:val="both"/>
        <w:rPr>
          <w:rFonts w:hint="eastAsia" w:ascii="宋体" w:hAnsi="宋体" w:cs="宋体"/>
          <w:color w:val="000000"/>
          <w:kern w:val="0"/>
        </w:rPr>
      </w:pPr>
      <w:r>
        <w:rPr>
          <w:color w:val="000000"/>
          <w:kern w:val="0"/>
        </w:rPr>
        <w:t>1.</w:t>
      </w:r>
      <w:r>
        <w:rPr>
          <w:rFonts w:hint="eastAsia" w:ascii="宋体" w:hAnsi="宋体" w:cs="宋体"/>
          <w:color w:val="000000"/>
          <w:kern w:val="0"/>
        </w:rPr>
        <w:t>物资（设备）</w:t>
      </w:r>
      <w:r>
        <w:rPr>
          <w:rFonts w:hint="eastAsia"/>
          <w:color w:val="000000"/>
          <w:szCs w:val="24"/>
        </w:rPr>
        <w:t>自甲方出具书面验收合格文件之日</w:t>
      </w:r>
      <w:r>
        <w:rPr>
          <w:rFonts w:hint="eastAsia" w:ascii="宋体" w:hAnsi="宋体" w:cs="宋体"/>
          <w:color w:val="000000"/>
          <w:kern w:val="0"/>
        </w:rPr>
        <w:t>起质保期</w:t>
      </w:r>
      <w:r>
        <w:rPr>
          <w:rFonts w:hint="eastAsia" w:ascii="宋体" w:hAnsi="宋体" w:cs="宋体"/>
          <w:color w:val="000000"/>
          <w:kern w:val="0"/>
          <w:u w:val="single"/>
        </w:rPr>
        <w:t xml:space="preserve">    </w:t>
      </w:r>
      <w:r>
        <w:rPr>
          <w:rFonts w:hint="eastAsia" w:ascii="宋体" w:hAnsi="宋体" w:cs="宋体"/>
          <w:color w:val="000000"/>
          <w:kern w:val="0"/>
        </w:rPr>
        <w:t>年。（国家或行业规定有强制质保期的电子产品可按照国家或行业标准执行，以较高标准执行。）</w:t>
      </w:r>
    </w:p>
    <w:p w14:paraId="74D82810">
      <w:pPr>
        <w:snapToGrid w:val="0"/>
        <w:ind w:firstLine="420" w:firstLineChars="200"/>
        <w:jc w:val="both"/>
        <w:rPr>
          <w:rFonts w:hint="eastAsia" w:ascii="宋体" w:hAnsi="宋体"/>
          <w:color w:val="000000"/>
        </w:rPr>
      </w:pPr>
      <w:r>
        <w:rPr>
          <w:color w:val="000000"/>
        </w:rPr>
        <w:t>2.</w:t>
      </w:r>
      <w:r>
        <w:rPr>
          <w:rFonts w:hint="eastAsia" w:ascii="宋体" w:hAnsi="宋体"/>
          <w:color w:val="000000"/>
        </w:rPr>
        <w:t>质保期内乙方免费上门维修，费用全免；质保期后，乙方仍上门维修，免人工费，可收取相关零配件和材料费。</w:t>
      </w:r>
      <w:r>
        <w:rPr>
          <w:rFonts w:hint="eastAsia"/>
          <w:color w:val="000000"/>
          <w:szCs w:val="24"/>
        </w:rPr>
        <w:t>如质保期内发生质量瑕疵，乙方未能按照甲方要求及时提供维修、更换服务，甲方有权要求乙方支付合同金额</w:t>
      </w:r>
      <w:r>
        <w:rPr>
          <w:rFonts w:hint="eastAsia"/>
          <w:color w:val="000000"/>
          <w:szCs w:val="24"/>
          <w:u w:val="single"/>
        </w:rPr>
        <w:t>20</w:t>
      </w:r>
      <w:r>
        <w:rPr>
          <w:rFonts w:hint="eastAsia"/>
          <w:color w:val="000000"/>
          <w:szCs w:val="24"/>
        </w:rPr>
        <w:t>%的违约金。</w:t>
      </w:r>
    </w:p>
    <w:p w14:paraId="2385E8FF">
      <w:pPr>
        <w:snapToGrid w:val="0"/>
        <w:ind w:firstLine="420" w:firstLineChars="200"/>
        <w:jc w:val="both"/>
        <w:rPr>
          <w:bCs/>
          <w:color w:val="000000"/>
        </w:rPr>
      </w:pPr>
      <w:r>
        <w:rPr>
          <w:bCs/>
          <w:color w:val="000000"/>
        </w:rPr>
        <w:t>3.</w:t>
      </w:r>
      <w:r>
        <w:rPr>
          <w:rFonts w:hint="eastAsia"/>
          <w:bCs/>
          <w:color w:val="000000"/>
        </w:rPr>
        <w:t>质保期内乙方对甲方提出的服务响应不得超出</w:t>
      </w:r>
      <w:r>
        <w:rPr>
          <w:rFonts w:hint="eastAsia"/>
          <w:bCs/>
          <w:color w:val="000000"/>
          <w:u w:val="single"/>
        </w:rPr>
        <w:t xml:space="preserve">    </w:t>
      </w:r>
      <w:r>
        <w:rPr>
          <w:rFonts w:hint="eastAsia"/>
          <w:bCs/>
          <w:color w:val="000000"/>
        </w:rPr>
        <w:t xml:space="preserve">小时，制定解决方案， </w:t>
      </w:r>
      <w:r>
        <w:rPr>
          <w:rFonts w:hint="eastAsia"/>
          <w:bCs/>
          <w:color w:val="000000"/>
          <w:u w:val="single"/>
        </w:rPr>
        <w:t xml:space="preserve">        </w:t>
      </w:r>
      <w:r>
        <w:rPr>
          <w:rFonts w:hint="eastAsia"/>
          <w:bCs/>
          <w:color w:val="000000"/>
        </w:rPr>
        <w:t>个工作日内派人到现场维修。乙方逾期维修的，甲方有权委托第三方进行维修，因此产生的全部费用均由乙方自行承担。</w:t>
      </w:r>
    </w:p>
    <w:p w14:paraId="634849CA">
      <w:pPr>
        <w:snapToGrid w:val="0"/>
        <w:ind w:firstLine="420" w:firstLineChars="200"/>
        <w:jc w:val="both"/>
        <w:rPr>
          <w:rFonts w:hint="eastAsia" w:ascii="宋体" w:hAnsi="宋体"/>
          <w:color w:val="000000"/>
        </w:rPr>
      </w:pPr>
      <w:r>
        <w:rPr>
          <w:color w:val="000000"/>
        </w:rPr>
        <w:t>4.</w:t>
      </w:r>
      <w:r>
        <w:rPr>
          <w:rFonts w:hint="eastAsia" w:ascii="宋体" w:hAnsi="宋体"/>
          <w:color w:val="000000"/>
        </w:rPr>
        <w:t>乙方对</w:t>
      </w:r>
      <w:r>
        <w:rPr>
          <w:rFonts w:hint="eastAsia" w:ascii="宋体" w:hAnsi="宋体" w:cs="宋体"/>
          <w:color w:val="000000"/>
          <w:kern w:val="0"/>
        </w:rPr>
        <w:t>物资（设备）出现的有关技术性问题或安全问题负责处理、解决，</w:t>
      </w:r>
      <w:r>
        <w:rPr>
          <w:rFonts w:hint="eastAsia" w:ascii="宋体" w:hAnsi="宋体"/>
          <w:color w:val="000000"/>
        </w:rPr>
        <w:t>承担因质量引起的事故损失。</w:t>
      </w:r>
    </w:p>
    <w:p w14:paraId="6743AB57">
      <w:pPr>
        <w:snapToGrid w:val="0"/>
        <w:ind w:firstLine="420" w:firstLineChars="200"/>
        <w:jc w:val="both"/>
        <w:rPr>
          <w:color w:val="000000"/>
        </w:rPr>
      </w:pPr>
      <w:r>
        <w:rPr>
          <w:bCs/>
          <w:color w:val="000000"/>
        </w:rPr>
        <w:t>5.</w:t>
      </w:r>
      <w:r>
        <w:rPr>
          <w:rFonts w:hAnsi="宋体"/>
          <w:bCs/>
          <w:color w:val="000000"/>
        </w:rPr>
        <w:t>乙方免费培训甲方用户</w:t>
      </w:r>
      <w:r>
        <w:rPr>
          <w:bCs/>
          <w:color w:val="000000"/>
          <w:u w:val="single"/>
        </w:rPr>
        <w:t xml:space="preserve">      </w:t>
      </w:r>
      <w:r>
        <w:rPr>
          <w:rFonts w:hAnsi="宋体"/>
          <w:bCs/>
          <w:color w:val="000000"/>
        </w:rPr>
        <w:t>人熟练掌握所供物资（设备）为止。</w:t>
      </w:r>
    </w:p>
    <w:p w14:paraId="2A110418">
      <w:pPr>
        <w:widowControl/>
        <w:tabs>
          <w:tab w:val="left" w:pos="1080"/>
        </w:tabs>
        <w:ind w:firstLine="61"/>
        <w:rPr>
          <w:rFonts w:hint="eastAsia" w:ascii="宋体" w:hAnsi="宋体" w:cs="宋体"/>
          <w:b/>
          <w:color w:val="000000"/>
          <w:kern w:val="0"/>
        </w:rPr>
      </w:pPr>
      <w:r>
        <w:rPr>
          <w:rFonts w:hint="eastAsia" w:ascii="宋体" w:hAnsi="宋体" w:cs="宋体"/>
          <w:b/>
          <w:color w:val="000000"/>
          <w:kern w:val="0"/>
        </w:rPr>
        <w:t>五、包装及运输：</w:t>
      </w:r>
    </w:p>
    <w:p w14:paraId="69D6DE3D">
      <w:pPr>
        <w:widowControl/>
        <w:ind w:firstLine="420" w:firstLineChars="200"/>
        <w:rPr>
          <w:rFonts w:hint="eastAsia" w:ascii="宋体" w:hAnsi="宋体"/>
          <w:bCs/>
          <w:color w:val="000000"/>
        </w:rPr>
      </w:pPr>
      <w:r>
        <w:rPr>
          <w:rFonts w:hint="eastAsia" w:ascii="宋体" w:hAnsi="宋体" w:cs="宋体"/>
          <w:color w:val="000000"/>
          <w:kern w:val="0"/>
        </w:rPr>
        <w:t>乙方负责运输、搬运上下楼等一切费用并承担运、保费，</w:t>
      </w:r>
      <w:r>
        <w:rPr>
          <w:rFonts w:hint="eastAsia" w:ascii="宋体" w:hAnsi="宋体"/>
          <w:color w:val="000000"/>
        </w:rPr>
        <w:t>保证所供产品为原厂包装，</w:t>
      </w:r>
      <w:r>
        <w:rPr>
          <w:rFonts w:hint="eastAsia" w:ascii="宋体" w:hAnsi="宋体"/>
          <w:bCs/>
          <w:color w:val="000000"/>
        </w:rPr>
        <w:t>开</w:t>
      </w:r>
    </w:p>
    <w:p w14:paraId="7318BBF9">
      <w:pPr>
        <w:widowControl/>
        <w:ind w:firstLine="61"/>
        <w:rPr>
          <w:rFonts w:hint="eastAsia" w:ascii="宋体" w:hAnsi="宋体" w:cs="宋体"/>
          <w:color w:val="000000"/>
          <w:kern w:val="0"/>
        </w:rPr>
      </w:pPr>
      <w:r>
        <w:rPr>
          <w:rFonts w:hint="eastAsia" w:ascii="宋体" w:hAnsi="宋体"/>
          <w:bCs/>
          <w:color w:val="000000"/>
        </w:rPr>
        <w:t>箱合格率达到</w:t>
      </w:r>
      <w:r>
        <w:rPr>
          <w:bCs/>
          <w:color w:val="000000"/>
        </w:rPr>
        <w:t>100%</w:t>
      </w:r>
      <w:r>
        <w:rPr>
          <w:rFonts w:hint="eastAsia" w:ascii="宋体" w:hAnsi="宋体"/>
          <w:bCs/>
          <w:color w:val="000000"/>
        </w:rPr>
        <w:t>，</w:t>
      </w:r>
      <w:r>
        <w:rPr>
          <w:rFonts w:hint="eastAsia" w:ascii="宋体" w:hAnsi="宋体" w:cs="宋体"/>
          <w:color w:val="000000"/>
          <w:kern w:val="0"/>
        </w:rPr>
        <w:t>使用说明书、质量检验证明书、随配附件和工具以及清单与物资（设备）一起发送。</w:t>
      </w:r>
    </w:p>
    <w:p w14:paraId="16F03C4A">
      <w:pPr>
        <w:widowControl/>
        <w:numPr>
          <w:ilvl w:val="0"/>
          <w:numId w:val="1"/>
        </w:numPr>
        <w:spacing w:line="240" w:lineRule="auto"/>
        <w:ind w:left="-4" w:firstLine="61"/>
        <w:jc w:val="both"/>
        <w:rPr>
          <w:rFonts w:hint="eastAsia" w:ascii="宋体" w:hAnsi="宋体" w:cs="宋体"/>
          <w:b/>
          <w:color w:val="000000"/>
          <w:kern w:val="0"/>
        </w:rPr>
      </w:pPr>
      <w:r>
        <w:rPr>
          <w:rFonts w:hint="eastAsia" w:ascii="宋体" w:hAnsi="宋体" w:cs="宋体"/>
          <w:b/>
          <w:color w:val="000000"/>
          <w:kern w:val="0"/>
        </w:rPr>
        <w:t>安装、调试及验收：</w:t>
      </w:r>
    </w:p>
    <w:p w14:paraId="1945AE0A">
      <w:pPr>
        <w:widowControl/>
        <w:ind w:firstLine="420" w:firstLineChars="200"/>
        <w:rPr>
          <w:rFonts w:hint="eastAsia" w:ascii="宋体" w:hAnsi="宋体" w:cs="宋体"/>
          <w:color w:val="000000"/>
          <w:kern w:val="0"/>
        </w:rPr>
      </w:pPr>
      <w:r>
        <w:rPr>
          <w:color w:val="000000"/>
          <w:kern w:val="0"/>
        </w:rPr>
        <w:t>1.</w:t>
      </w:r>
      <w:r>
        <w:rPr>
          <w:rFonts w:hint="eastAsia" w:ascii="宋体" w:hAnsi="宋体" w:cs="宋体"/>
          <w:color w:val="000000"/>
          <w:kern w:val="0"/>
        </w:rPr>
        <w:t>乙方负责安装调试，甲方提供必要的工作条件。</w:t>
      </w:r>
    </w:p>
    <w:p w14:paraId="2132703B">
      <w:pPr>
        <w:widowControl/>
        <w:ind w:firstLine="420" w:firstLineChars="200"/>
        <w:rPr>
          <w:rFonts w:hint="eastAsia" w:ascii="宋体" w:hAnsi="宋体" w:cs="宋体"/>
          <w:color w:val="000000"/>
          <w:kern w:val="0"/>
        </w:rPr>
      </w:pPr>
      <w:r>
        <w:rPr>
          <w:color w:val="000000"/>
          <w:kern w:val="0"/>
        </w:rPr>
        <w:t>2.</w:t>
      </w:r>
      <w:r>
        <w:rPr>
          <w:rFonts w:hint="eastAsia" w:ascii="宋体" w:hAnsi="宋体" w:cs="宋体"/>
          <w:color w:val="000000"/>
          <w:kern w:val="0"/>
        </w:rPr>
        <w:t>甲方对乙方所供物资（设备）依照合同进行现场验收。验收时甲乙双方均派人到场，由甲方先对物资（设备）外观质量进行验收（包括对产品名称、规格型号、品牌商标、生产厂商、单位、数量等的验收）。乙方安装、调试完成之后，通知甲方对物资（设备）相关技术指标、系统功能进行验收，甲方应在乙方通知后</w:t>
      </w:r>
      <w:r>
        <w:rPr>
          <w:rFonts w:hint="eastAsia" w:ascii="宋体" w:hAnsi="宋体" w:cs="宋体"/>
          <w:color w:val="000000"/>
          <w:kern w:val="0"/>
          <w:u w:val="single"/>
        </w:rPr>
        <w:t xml:space="preserve">    </w:t>
      </w:r>
      <w:r>
        <w:rPr>
          <w:rFonts w:hint="eastAsia" w:ascii="宋体" w:hAnsi="宋体" w:cs="宋体"/>
          <w:color w:val="000000"/>
          <w:kern w:val="0"/>
        </w:rPr>
        <w:t>日内进行终验，终验合格后甲方向乙方出具终验合格验收报告，作为验收依据。验收不合格的，限期整改；整改仍达不到要求的，作退货处理。</w:t>
      </w:r>
    </w:p>
    <w:p w14:paraId="27083C8F">
      <w:pPr>
        <w:widowControl/>
        <w:ind w:firstLine="420" w:firstLineChars="200"/>
        <w:rPr>
          <w:rFonts w:hint="eastAsia" w:ascii="宋体" w:hAnsi="宋体" w:cs="宋体"/>
          <w:color w:val="000000"/>
          <w:kern w:val="0"/>
        </w:rPr>
      </w:pPr>
      <w:r>
        <w:rPr>
          <w:color w:val="000000"/>
          <w:kern w:val="0"/>
        </w:rPr>
        <w:t>3.</w:t>
      </w:r>
      <w:r>
        <w:rPr>
          <w:rFonts w:hint="eastAsia" w:ascii="宋体" w:hAnsi="宋体" w:cs="宋体"/>
          <w:color w:val="000000"/>
          <w:kern w:val="0"/>
        </w:rPr>
        <w:t>甲方在质保期内使用过程中如因物资（设备）内在质量出现问题，甲方将乙方所交物资（设备）交至甲方属地技术质量监督部门按双方确认的技术标准进行检测；如果检测与双方确认的质量标准不符，由乙方承担检测费用及负违约责任，违约责任</w:t>
      </w:r>
      <w:r>
        <w:rPr>
          <w:rFonts w:hint="eastAsia" w:ascii="宋体" w:hAnsi="宋体"/>
          <w:color w:val="000000"/>
        </w:rPr>
        <w:t>按本合同第八条第4款处理。</w:t>
      </w:r>
    </w:p>
    <w:p w14:paraId="02080B7A">
      <w:pPr>
        <w:widowControl/>
        <w:ind w:left="-4" w:leftChars="-2" w:firstLine="420" w:firstLineChars="200"/>
        <w:rPr>
          <w:rFonts w:hint="eastAsia" w:ascii="宋体" w:hAnsi="宋体" w:cs="宋体"/>
          <w:color w:val="000000"/>
          <w:kern w:val="0"/>
        </w:rPr>
      </w:pPr>
      <w:r>
        <w:rPr>
          <w:color w:val="000000"/>
          <w:kern w:val="0"/>
        </w:rPr>
        <w:t>4.</w:t>
      </w:r>
      <w:r>
        <w:rPr>
          <w:rFonts w:hint="eastAsia" w:ascii="宋体" w:hAnsi="宋体" w:cs="宋体"/>
          <w:color w:val="000000"/>
          <w:kern w:val="0"/>
        </w:rPr>
        <w:t>如果所供物资（设备）以投标时双方封存样品为准的，可做破坏性检验，以确定乙方货物是否合格。</w:t>
      </w:r>
    </w:p>
    <w:p w14:paraId="09ACEC6A">
      <w:pPr>
        <w:widowControl/>
        <w:ind w:firstLine="61"/>
        <w:rPr>
          <w:rFonts w:hint="eastAsia" w:ascii="宋体" w:hAnsi="宋体" w:cs="宋体"/>
          <w:b/>
          <w:color w:val="000000"/>
          <w:kern w:val="0"/>
        </w:rPr>
      </w:pPr>
      <w:r>
        <w:rPr>
          <w:rFonts w:hint="eastAsia" w:ascii="宋体" w:hAnsi="宋体" w:cs="宋体"/>
          <w:b/>
          <w:color w:val="000000"/>
          <w:kern w:val="0"/>
        </w:rPr>
        <w:t>七、付款方式及期限：</w:t>
      </w:r>
    </w:p>
    <w:p w14:paraId="7AD776EF">
      <w:pPr>
        <w:widowControl/>
        <w:ind w:firstLine="420" w:firstLineChars="200"/>
        <w:rPr>
          <w:rFonts w:hint="eastAsia"/>
          <w:color w:val="000000"/>
          <w:kern w:val="0"/>
        </w:rPr>
      </w:pPr>
      <w:r>
        <w:rPr>
          <w:rFonts w:hint="eastAsia"/>
          <w:color w:val="000000"/>
          <w:kern w:val="0"/>
        </w:rPr>
        <w:t>1. 本合同含税总价：人民币          元整（小写：￥          ）。</w:t>
      </w:r>
    </w:p>
    <w:p w14:paraId="0936D591">
      <w:pPr>
        <w:widowControl/>
        <w:ind w:firstLine="420" w:firstLineChars="200"/>
        <w:rPr>
          <w:rFonts w:hint="eastAsia"/>
          <w:color w:val="000000"/>
          <w:kern w:val="0"/>
        </w:rPr>
      </w:pPr>
      <w:r>
        <w:rPr>
          <w:rFonts w:hint="eastAsia" w:ascii="宋体" w:hAnsi="宋体" w:cs="宋体"/>
          <w:kern w:val="0"/>
        </w:rPr>
        <w:t xml:space="preserve"> 合同签订后，所有物资（设备）到达甲方指定地点，安装、调试完毕并验收合格后，30天内支付合同总价的100%。甲方向乙方付款前，乙方应向甲方开具符合甲方要求的增值税专用发票，若因乙方未开具或逾期开具合法有效的发票，甲方有权顺延付款期限且不承担逾期付款责任。</w:t>
      </w:r>
    </w:p>
    <w:p w14:paraId="4B64027E">
      <w:pPr>
        <w:widowControl/>
        <w:numPr>
          <w:ilvl w:val="0"/>
          <w:numId w:val="2"/>
        </w:numPr>
        <w:spacing w:line="240" w:lineRule="auto"/>
        <w:ind w:firstLine="420" w:firstLineChars="200"/>
        <w:jc w:val="both"/>
        <w:rPr>
          <w:color w:val="000000"/>
          <w:kern w:val="0"/>
        </w:rPr>
      </w:pPr>
      <w:r>
        <w:rPr>
          <w:rFonts w:hint="eastAsia"/>
          <w:color w:val="000000"/>
          <w:kern w:val="0"/>
        </w:rPr>
        <w:t>本合同总价为固定总价，不受市场价格浮动影响，不做任何调整。包括成本、运费、人工费、安装调试费、验收费、保险费、利润、税金、售后服务费、培训费及相关伴随费用等全部费用，甲方无需再就本合同支付额外费用。</w:t>
      </w:r>
    </w:p>
    <w:p w14:paraId="56C07589">
      <w:pPr>
        <w:widowControl/>
        <w:numPr>
          <w:ilvl w:val="0"/>
          <w:numId w:val="2"/>
        </w:numPr>
        <w:spacing w:line="240" w:lineRule="auto"/>
        <w:ind w:firstLine="420" w:firstLineChars="200"/>
        <w:jc w:val="both"/>
        <w:rPr>
          <w:color w:val="000000"/>
          <w:kern w:val="0"/>
        </w:rPr>
      </w:pPr>
      <w:r>
        <w:rPr>
          <w:rFonts w:hint="eastAsia"/>
          <w:color w:val="000000"/>
          <w:kern w:val="0"/>
        </w:rPr>
        <w:t>供应商成交后凭中标通知书向采购人缴纳成交金额的5%作为履约保证金；</w:t>
      </w:r>
    </w:p>
    <w:p w14:paraId="3069F9D6">
      <w:pPr>
        <w:widowControl/>
        <w:numPr>
          <w:ilvl w:val="0"/>
          <w:numId w:val="2"/>
        </w:numPr>
        <w:spacing w:line="240" w:lineRule="auto"/>
        <w:ind w:firstLine="420" w:firstLineChars="200"/>
        <w:jc w:val="both"/>
        <w:rPr>
          <w:color w:val="000000"/>
          <w:kern w:val="0"/>
        </w:rPr>
      </w:pPr>
      <w:r>
        <w:rPr>
          <w:rFonts w:hint="eastAsia"/>
          <w:color w:val="000000"/>
          <w:kern w:val="0"/>
        </w:rPr>
        <w:t>履约保证金应使用人民币，可选择使用银行转账、支票、汇票、本票或者金融机构、担保机构出具的保函等非现金形式缴纳或提交；</w:t>
      </w:r>
    </w:p>
    <w:p w14:paraId="6CA26440">
      <w:pPr>
        <w:widowControl/>
        <w:numPr>
          <w:ilvl w:val="0"/>
          <w:numId w:val="2"/>
        </w:numPr>
        <w:spacing w:line="240" w:lineRule="auto"/>
        <w:ind w:firstLine="420" w:firstLineChars="200"/>
        <w:jc w:val="both"/>
        <w:rPr>
          <w:color w:val="000000"/>
          <w:kern w:val="0"/>
        </w:rPr>
      </w:pPr>
      <w:r>
        <w:rPr>
          <w:rFonts w:hint="eastAsia"/>
          <w:color w:val="000000"/>
          <w:kern w:val="0"/>
        </w:rPr>
        <w:t>采购人验收合格后，成交供应商提出书面申请，采购人将履约保证金（无息）退还成交供应商。</w:t>
      </w:r>
    </w:p>
    <w:p w14:paraId="1645A795">
      <w:pPr>
        <w:widowControl/>
        <w:numPr>
          <w:ilvl w:val="0"/>
          <w:numId w:val="2"/>
        </w:numPr>
        <w:spacing w:line="240" w:lineRule="auto"/>
        <w:ind w:firstLine="420" w:firstLineChars="200"/>
        <w:jc w:val="both"/>
        <w:rPr>
          <w:rFonts w:hint="eastAsia" w:ascii="宋体" w:hAnsi="宋体" w:cs="宋体"/>
          <w:color w:val="000000"/>
          <w:kern w:val="0"/>
        </w:rPr>
      </w:pPr>
      <w:r>
        <w:rPr>
          <w:rFonts w:hint="eastAsia" w:ascii="宋体" w:hAnsi="宋体" w:cs="宋体"/>
          <w:color w:val="000000"/>
          <w:kern w:val="0"/>
        </w:rPr>
        <w:t>支付方式：银行转账。</w:t>
      </w:r>
    </w:p>
    <w:p w14:paraId="093AC052">
      <w:pPr>
        <w:widowControl/>
        <w:ind w:firstLine="422" w:firstLineChars="200"/>
        <w:rPr>
          <w:rFonts w:hint="eastAsia" w:ascii="宋体" w:hAnsi="宋体" w:cs="宋体"/>
          <w:b/>
          <w:bCs/>
          <w:color w:val="000000"/>
          <w:kern w:val="0"/>
        </w:rPr>
      </w:pPr>
      <w:r>
        <w:rPr>
          <w:rFonts w:hint="eastAsia" w:ascii="宋体" w:hAnsi="宋体" w:cs="宋体"/>
          <w:b/>
          <w:bCs/>
          <w:color w:val="000000"/>
          <w:kern w:val="0"/>
        </w:rPr>
        <w:t>甲方开票信息：</w:t>
      </w:r>
    </w:p>
    <w:p w14:paraId="2DF0BE51">
      <w:pPr>
        <w:widowControl/>
        <w:ind w:firstLine="420" w:firstLineChars="200"/>
        <w:rPr>
          <w:rFonts w:hint="eastAsia" w:ascii="宋体" w:hAnsi="宋体" w:cs="宋体"/>
          <w:color w:val="000000"/>
          <w:kern w:val="0"/>
        </w:rPr>
      </w:pPr>
      <w:r>
        <w:rPr>
          <w:rFonts w:hint="eastAsia" w:ascii="宋体" w:hAnsi="宋体" w:cs="宋体"/>
          <w:color w:val="000000"/>
          <w:kern w:val="0"/>
        </w:rPr>
        <w:t>单位名称：西安工程大学</w:t>
      </w:r>
    </w:p>
    <w:p w14:paraId="07C1E991">
      <w:pPr>
        <w:widowControl/>
        <w:ind w:firstLine="420" w:firstLineChars="200"/>
        <w:rPr>
          <w:rFonts w:hint="eastAsia" w:ascii="宋体" w:hAnsi="宋体" w:cs="宋体"/>
          <w:color w:val="000000"/>
          <w:kern w:val="0"/>
        </w:rPr>
      </w:pPr>
      <w:r>
        <w:rPr>
          <w:rFonts w:hint="eastAsia" w:ascii="宋体" w:hAnsi="宋体" w:cs="宋体"/>
          <w:color w:val="000000"/>
          <w:kern w:val="0"/>
        </w:rPr>
        <w:t>统一社会信用代码：</w:t>
      </w:r>
      <w:r>
        <w:rPr>
          <w:spacing w:val="-16"/>
          <w:kern w:val="0"/>
        </w:rPr>
        <w:t>12610000435204205L</w:t>
      </w:r>
      <w:r>
        <w:rPr>
          <w:rFonts w:hint="eastAsia"/>
          <w:spacing w:val="-16"/>
          <w:kern w:val="0"/>
        </w:rPr>
        <w:t xml:space="preserve">   </w:t>
      </w:r>
    </w:p>
    <w:p w14:paraId="352A25BC">
      <w:pPr>
        <w:widowControl/>
        <w:ind w:firstLine="420" w:firstLineChars="200"/>
        <w:rPr>
          <w:rFonts w:hint="eastAsia" w:ascii="宋体" w:hAnsi="宋体" w:cs="宋体"/>
          <w:color w:val="000000"/>
          <w:kern w:val="0"/>
        </w:rPr>
      </w:pPr>
      <w:r>
        <w:rPr>
          <w:rFonts w:hint="eastAsia" w:ascii="宋体" w:hAnsi="宋体" w:cs="宋体"/>
          <w:color w:val="000000"/>
          <w:kern w:val="0"/>
        </w:rPr>
        <w:t>地址：</w:t>
      </w:r>
      <w:r>
        <w:rPr>
          <w:rFonts w:hint="eastAsia" w:ascii="宋体" w:hAnsi="宋体" w:cs="宋体"/>
          <w:spacing w:val="-16"/>
          <w:kern w:val="0"/>
        </w:rPr>
        <w:t>陕西省西安市碑林区金花南路</w:t>
      </w:r>
      <w:r>
        <w:rPr>
          <w:spacing w:val="-16"/>
          <w:kern w:val="0"/>
        </w:rPr>
        <w:t>19</w:t>
      </w:r>
      <w:r>
        <w:rPr>
          <w:rFonts w:hint="eastAsia" w:ascii="宋体" w:hAnsi="宋体" w:cs="宋体"/>
          <w:spacing w:val="-16"/>
          <w:kern w:val="0"/>
        </w:rPr>
        <w:t xml:space="preserve">号   </w:t>
      </w:r>
    </w:p>
    <w:p w14:paraId="2CF670C5">
      <w:pPr>
        <w:widowControl/>
        <w:ind w:firstLine="420" w:firstLineChars="200"/>
        <w:rPr>
          <w:rFonts w:hint="eastAsia" w:ascii="宋体" w:hAnsi="宋体" w:cs="宋体"/>
          <w:color w:val="000000"/>
          <w:kern w:val="0"/>
        </w:rPr>
      </w:pPr>
      <w:r>
        <w:rPr>
          <w:rFonts w:hint="eastAsia" w:ascii="宋体" w:hAnsi="宋体" w:cs="宋体"/>
          <w:color w:val="000000"/>
          <w:kern w:val="0"/>
        </w:rPr>
        <w:t>开户银行：</w:t>
      </w:r>
      <w:r>
        <w:rPr>
          <w:rFonts w:hint="eastAsia" w:ascii="宋体" w:hAnsi="宋体" w:cs="宋体"/>
          <w:spacing w:val="-16"/>
          <w:kern w:val="0"/>
        </w:rPr>
        <w:t xml:space="preserve">中国建设银行股份有限公司西安友谊东路支行 </w:t>
      </w:r>
    </w:p>
    <w:p w14:paraId="0550F662">
      <w:pPr>
        <w:widowControl/>
        <w:ind w:firstLine="420" w:firstLineChars="200"/>
        <w:rPr>
          <w:rFonts w:hint="eastAsia" w:ascii="宋体" w:hAnsi="宋体" w:cs="宋体"/>
          <w:color w:val="000000"/>
          <w:kern w:val="0"/>
        </w:rPr>
      </w:pPr>
      <w:r>
        <w:rPr>
          <w:rFonts w:hint="eastAsia" w:ascii="宋体" w:hAnsi="宋体" w:cs="宋体"/>
          <w:color w:val="000000"/>
          <w:kern w:val="0"/>
        </w:rPr>
        <w:t>账号：</w:t>
      </w:r>
      <w:r>
        <w:rPr>
          <w:rFonts w:hint="eastAsia" w:ascii="宋体" w:hAnsi="宋体" w:cs="宋体"/>
          <w:spacing w:val="-16"/>
          <w:kern w:val="0"/>
        </w:rPr>
        <w:t xml:space="preserve">61050190540000001286   </w:t>
      </w:r>
    </w:p>
    <w:p w14:paraId="0E08C5A7">
      <w:pPr>
        <w:widowControl/>
        <w:ind w:firstLine="422" w:firstLineChars="200"/>
        <w:rPr>
          <w:rFonts w:hint="eastAsia" w:ascii="宋体" w:hAnsi="宋体" w:cs="宋体"/>
          <w:b/>
          <w:bCs/>
          <w:color w:val="000000"/>
          <w:kern w:val="0"/>
        </w:rPr>
      </w:pPr>
      <w:r>
        <w:rPr>
          <w:rFonts w:hint="eastAsia" w:ascii="宋体" w:hAnsi="宋体" w:cs="宋体"/>
          <w:b/>
          <w:bCs/>
          <w:color w:val="000000"/>
          <w:kern w:val="0"/>
        </w:rPr>
        <w:t>乙方指定收款账户：</w:t>
      </w:r>
    </w:p>
    <w:p w14:paraId="0193460D">
      <w:pPr>
        <w:widowControl/>
        <w:ind w:firstLine="420" w:firstLineChars="200"/>
        <w:rPr>
          <w:rFonts w:hint="eastAsia" w:ascii="宋体" w:hAnsi="宋体" w:cs="宋体"/>
          <w:color w:val="000000"/>
          <w:kern w:val="0"/>
        </w:rPr>
      </w:pPr>
      <w:r>
        <w:rPr>
          <w:rFonts w:hint="eastAsia" w:ascii="宋体" w:hAnsi="宋体" w:cs="宋体"/>
          <w:color w:val="000000"/>
          <w:kern w:val="0"/>
        </w:rPr>
        <w:t>开户名称：</w:t>
      </w:r>
    </w:p>
    <w:p w14:paraId="09F324E9">
      <w:pPr>
        <w:widowControl/>
        <w:ind w:firstLine="420" w:firstLineChars="200"/>
        <w:rPr>
          <w:rFonts w:hint="eastAsia" w:ascii="宋体" w:hAnsi="宋体" w:cs="宋体"/>
          <w:color w:val="000000"/>
          <w:kern w:val="0"/>
        </w:rPr>
      </w:pPr>
      <w:r>
        <w:rPr>
          <w:rFonts w:hint="eastAsia" w:ascii="宋体" w:hAnsi="宋体" w:cs="宋体"/>
          <w:color w:val="000000"/>
          <w:kern w:val="0"/>
        </w:rPr>
        <w:t>统一社会信用代码：</w:t>
      </w:r>
    </w:p>
    <w:p w14:paraId="4FDBBD5C">
      <w:pPr>
        <w:widowControl/>
        <w:ind w:firstLine="420" w:firstLineChars="200"/>
        <w:rPr>
          <w:rFonts w:hint="eastAsia" w:ascii="宋体" w:hAnsi="宋体" w:cs="宋体"/>
          <w:color w:val="000000"/>
          <w:kern w:val="0"/>
        </w:rPr>
      </w:pPr>
      <w:r>
        <w:rPr>
          <w:rFonts w:hint="eastAsia" w:ascii="宋体" w:hAnsi="宋体" w:cs="宋体"/>
          <w:color w:val="000000"/>
          <w:kern w:val="0"/>
        </w:rPr>
        <w:t>地址：</w:t>
      </w:r>
    </w:p>
    <w:p w14:paraId="3BFC5909">
      <w:pPr>
        <w:widowControl/>
        <w:ind w:firstLine="420" w:firstLineChars="200"/>
        <w:rPr>
          <w:rFonts w:hint="eastAsia" w:ascii="宋体" w:hAnsi="宋体" w:cs="宋体"/>
          <w:color w:val="000000"/>
          <w:kern w:val="0"/>
        </w:rPr>
      </w:pPr>
      <w:r>
        <w:rPr>
          <w:rFonts w:hint="eastAsia" w:ascii="宋体" w:hAnsi="宋体" w:cs="宋体"/>
          <w:color w:val="000000"/>
          <w:kern w:val="0"/>
        </w:rPr>
        <w:t>开户银行：</w:t>
      </w:r>
    </w:p>
    <w:p w14:paraId="5AF091EC">
      <w:pPr>
        <w:widowControl/>
        <w:ind w:firstLine="420" w:firstLineChars="200"/>
        <w:rPr>
          <w:rFonts w:hint="eastAsia" w:ascii="宋体" w:hAnsi="宋体" w:cs="宋体"/>
          <w:color w:val="000000"/>
          <w:kern w:val="0"/>
        </w:rPr>
      </w:pPr>
      <w:r>
        <w:rPr>
          <w:rFonts w:hint="eastAsia" w:ascii="宋体" w:hAnsi="宋体" w:cs="宋体"/>
          <w:color w:val="000000"/>
          <w:kern w:val="0"/>
        </w:rPr>
        <w:t>账号：</w:t>
      </w:r>
    </w:p>
    <w:p w14:paraId="5A1AFAE7">
      <w:pPr>
        <w:widowControl/>
        <w:ind w:firstLine="420" w:firstLineChars="200"/>
        <w:rPr>
          <w:rFonts w:hint="eastAsia" w:ascii="宋体" w:hAnsi="宋体" w:cs="宋体"/>
          <w:color w:val="000000"/>
          <w:kern w:val="0"/>
        </w:rPr>
      </w:pPr>
      <w:r>
        <w:rPr>
          <w:rFonts w:hint="eastAsia" w:ascii="宋体" w:hAnsi="宋体" w:cs="宋体"/>
          <w:color w:val="000000"/>
          <w:kern w:val="0"/>
        </w:rPr>
        <w:t>乙方对上述账户的真实性、有效性、准确性负责，若变更账户需提前5日书面告知甲方，因乙方原因导致未受到款项，甲方不承担任何责任。</w:t>
      </w:r>
    </w:p>
    <w:p w14:paraId="58184689">
      <w:pPr>
        <w:widowControl/>
        <w:ind w:firstLine="61"/>
        <w:rPr>
          <w:rFonts w:hint="eastAsia" w:ascii="宋体" w:hAnsi="宋体" w:cs="宋体"/>
          <w:b/>
          <w:kern w:val="0"/>
        </w:rPr>
      </w:pPr>
      <w:r>
        <w:rPr>
          <w:rFonts w:hint="eastAsia" w:ascii="宋体" w:hAnsi="宋体" w:cs="宋体"/>
          <w:b/>
          <w:kern w:val="0"/>
        </w:rPr>
        <w:t>八、违约责任：</w:t>
      </w:r>
    </w:p>
    <w:p w14:paraId="3656CEB6">
      <w:pPr>
        <w:ind w:firstLine="420" w:firstLineChars="200"/>
        <w:jc w:val="both"/>
        <w:rPr>
          <w:rFonts w:hint="eastAsia" w:ascii="宋体" w:hAnsi="宋体" w:cs="宋体"/>
        </w:rPr>
      </w:pPr>
      <w:r>
        <w:rPr>
          <w:rFonts w:hint="eastAsia" w:ascii="宋体" w:hAnsi="宋体" w:cs="宋体"/>
        </w:rPr>
        <w:t>1.合同生效后，甲乙双方应按合同规定认真履约。合同履约责任只涉及合同甲乙双方，不考虑第三方因素。</w:t>
      </w:r>
    </w:p>
    <w:p w14:paraId="3B44E6E5">
      <w:pPr>
        <w:ind w:firstLine="420" w:firstLineChars="200"/>
        <w:jc w:val="both"/>
        <w:rPr>
          <w:rFonts w:hint="eastAsia" w:ascii="宋体" w:hAnsi="宋体" w:cs="宋体"/>
        </w:rPr>
      </w:pPr>
      <w:r>
        <w:rPr>
          <w:rFonts w:hint="eastAsia" w:ascii="宋体" w:hAnsi="宋体" w:cs="宋体"/>
        </w:rPr>
        <w:t>2.乙方逾期交货，每天应按合同</w:t>
      </w:r>
      <w:r>
        <w:rPr>
          <w:rFonts w:hint="eastAsia" w:ascii="宋体" w:hAnsi="宋体" w:cs="宋体"/>
          <w:color w:val="000000"/>
        </w:rPr>
        <w:t>总</w:t>
      </w:r>
      <w:r>
        <w:rPr>
          <w:rFonts w:hint="eastAsia" w:ascii="宋体" w:hAnsi="宋体" w:cs="宋体"/>
        </w:rPr>
        <w:t>价的万分之五向甲</w:t>
      </w:r>
      <w:r>
        <w:rPr>
          <w:rFonts w:hint="eastAsia" w:ascii="宋体" w:hAnsi="宋体" w:cs="宋体"/>
          <w:color w:val="000000"/>
        </w:rPr>
        <w:t>方</w:t>
      </w:r>
      <w:r>
        <w:rPr>
          <w:rFonts w:hint="eastAsia" w:ascii="宋体" w:hAnsi="宋体" w:cs="宋体"/>
        </w:rPr>
        <w:t>支付违约金。如乙方逾期含三十天仍未履行或未完全履行交货义务的，甲方有权终止合同，乙方须按合同总价的30%计算向甲方支付违约赔偿金。违约金不足以弥补乙方给甲方造成损失的，乙方应当承担全部赔偿责任，全部赔偿责任的范围包括但不限于预期可得利益、直接损失、赔偿金、违约金、诉讼费用、仲裁费、鉴定费、保全费、保全担保费用、律师费等。</w:t>
      </w:r>
    </w:p>
    <w:p w14:paraId="5D5AC3AB">
      <w:pPr>
        <w:widowControl/>
        <w:ind w:firstLine="420" w:firstLineChars="200"/>
        <w:jc w:val="both"/>
        <w:rPr>
          <w:rFonts w:hint="eastAsia" w:ascii="宋体" w:hAnsi="宋体" w:cs="宋体"/>
          <w:kern w:val="0"/>
        </w:rPr>
      </w:pPr>
      <w:r>
        <w:rPr>
          <w:rFonts w:hint="eastAsia" w:ascii="宋体" w:hAnsi="宋体" w:cs="宋体"/>
          <w:kern w:val="0"/>
        </w:rPr>
        <w:t>3.甲方无正当理由拒收物资（设备），应向乙方支付合同总价款30%的违约金。</w:t>
      </w:r>
    </w:p>
    <w:p w14:paraId="7E116736">
      <w:pPr>
        <w:widowControl/>
        <w:ind w:firstLine="420" w:firstLineChars="200"/>
        <w:rPr>
          <w:rFonts w:hint="eastAsia" w:ascii="宋体" w:hAnsi="宋体" w:cs="宋体"/>
          <w:kern w:val="0"/>
        </w:rPr>
      </w:pPr>
      <w:r>
        <w:rPr>
          <w:rFonts w:hint="eastAsia" w:ascii="宋体" w:hAnsi="宋体" w:cs="宋体"/>
          <w:kern w:val="0"/>
        </w:rPr>
        <w:t>4.乙方所交的物资（设备）品种、规格型号、品牌、生产厂商、数量和质量不符合合同约定，所供物资（设备）达不到双方确认的技术标准的，乙方必须无条件退回全部货款，并向甲方支付合同总价款30%的赔偿金。</w:t>
      </w:r>
    </w:p>
    <w:p w14:paraId="7CB178A0">
      <w:pPr>
        <w:widowControl/>
        <w:ind w:firstLine="420" w:firstLineChars="200"/>
        <w:rPr>
          <w:rFonts w:hint="eastAsia" w:ascii="宋体" w:hAnsi="宋体" w:cs="宋体"/>
          <w:kern w:val="0"/>
        </w:rPr>
      </w:pPr>
      <w:r>
        <w:rPr>
          <w:rFonts w:hint="eastAsia" w:ascii="宋体" w:hAnsi="宋体" w:cs="宋体"/>
          <w:kern w:val="0"/>
        </w:rPr>
        <w:t>5.</w:t>
      </w:r>
      <w:r>
        <w:rPr>
          <w:rFonts w:ascii="宋体" w:hAnsi="宋体" w:cs="宋体"/>
          <w:kern w:val="0"/>
        </w:rPr>
        <w:t xml:space="preserve"> </w:t>
      </w:r>
      <w:r>
        <w:rPr>
          <w:rFonts w:hint="eastAsia" w:ascii="宋体" w:hAnsi="宋体" w:cs="宋体"/>
          <w:kern w:val="0"/>
        </w:rPr>
        <w:t>因乙方提供的产品存在缺陷或由于乙方的过错使产品存在缺陷造成人身、缺陷产品以外的其他财产损害，乙方应当承担全部赔偿责任。若由此造成甲方先行承担责任的，甲方在承担责任后有权全额向乙方追偿。</w:t>
      </w:r>
    </w:p>
    <w:p w14:paraId="3F6D95A0">
      <w:pPr>
        <w:widowControl/>
        <w:ind w:firstLine="420" w:firstLineChars="200"/>
        <w:rPr>
          <w:rFonts w:hint="eastAsia" w:ascii="宋体" w:hAnsi="宋体" w:cs="宋体"/>
          <w:kern w:val="0"/>
        </w:rPr>
      </w:pPr>
      <w:r>
        <w:rPr>
          <w:rFonts w:hint="eastAsia" w:ascii="宋体" w:hAnsi="宋体" w:cs="宋体"/>
          <w:kern w:val="0"/>
        </w:rPr>
        <w:t>6. 质保期内，乙方未履行质量保证条款约定的义务，甲方可自行或联系第三方进行保修，所产生的费用由乙方承担（存在质保金的，可从质保金中扣除，不足部分由乙方补足；不存在质保金的，甲方无义务配合解除相关担保措施，乙方直接向甲方支付费用），同时，乙方还应向甲方承担本合同总价30%的违约金。</w:t>
      </w:r>
    </w:p>
    <w:p w14:paraId="6A11EC92">
      <w:pPr>
        <w:widowControl/>
        <w:ind w:firstLine="420" w:firstLineChars="200"/>
        <w:rPr>
          <w:rFonts w:hint="eastAsia" w:ascii="宋体" w:hAnsi="宋体" w:cs="宋体"/>
          <w:kern w:val="0"/>
        </w:rPr>
      </w:pPr>
      <w:r>
        <w:rPr>
          <w:rFonts w:hint="eastAsia" w:ascii="宋体" w:hAnsi="宋体" w:cs="宋体"/>
          <w:kern w:val="0"/>
        </w:rPr>
        <w:t>7.乙方违反本合同任何一条约定均视为违约，应当承担全部赔偿责任，全部赔偿责任的范围包括但不限于预期可得利益、直接损失、赔偿金、违约金、诉讼费、仲裁费、鉴定费、保全费、保全担保费用、律师费等。</w:t>
      </w:r>
    </w:p>
    <w:p w14:paraId="4CAD87E3">
      <w:pPr>
        <w:widowControl/>
        <w:ind w:firstLine="61"/>
        <w:rPr>
          <w:rFonts w:hint="eastAsia" w:ascii="宋体" w:hAnsi="宋体" w:cs="宋体"/>
          <w:b/>
          <w:kern w:val="0"/>
        </w:rPr>
      </w:pPr>
      <w:r>
        <w:rPr>
          <w:rFonts w:hint="eastAsia" w:ascii="宋体" w:hAnsi="宋体" w:cs="宋体"/>
          <w:b/>
          <w:kern w:val="0"/>
        </w:rPr>
        <w:t>九、争议解决方式：</w:t>
      </w:r>
    </w:p>
    <w:p w14:paraId="3842EA0E">
      <w:pPr>
        <w:widowControl/>
        <w:ind w:firstLine="420" w:firstLineChars="200"/>
        <w:jc w:val="both"/>
        <w:rPr>
          <w:rFonts w:hint="eastAsia" w:ascii="宋体" w:hAnsi="宋体" w:cs="宋体"/>
          <w:kern w:val="0"/>
        </w:rPr>
      </w:pPr>
      <w:r>
        <w:rPr>
          <w:rFonts w:hint="eastAsia" w:ascii="宋体" w:hAnsi="宋体" w:cs="宋体"/>
          <w:kern w:val="0"/>
        </w:rPr>
        <w:t>本合同在履行过程中，如发生争议，双方友好协商解决，如协商不成，双方同意在甲方注册地所在地法院起诉解决。</w:t>
      </w:r>
    </w:p>
    <w:p w14:paraId="7A19E5B6">
      <w:pPr>
        <w:widowControl/>
        <w:ind w:firstLine="61"/>
        <w:rPr>
          <w:rFonts w:hint="eastAsia" w:ascii="宋体" w:hAnsi="宋体" w:cs="宋体"/>
          <w:b/>
          <w:kern w:val="0"/>
        </w:rPr>
      </w:pPr>
      <w:r>
        <w:rPr>
          <w:rFonts w:hint="eastAsia" w:ascii="宋体" w:hAnsi="宋体" w:cs="宋体"/>
          <w:b/>
          <w:kern w:val="0"/>
        </w:rPr>
        <w:t>十、其他：</w:t>
      </w:r>
    </w:p>
    <w:p w14:paraId="4E8E7406">
      <w:pPr>
        <w:snapToGrid w:val="0"/>
        <w:ind w:firstLine="420" w:firstLineChars="200"/>
        <w:jc w:val="both"/>
        <w:rPr>
          <w:rFonts w:hint="eastAsia" w:ascii="宋体" w:hAnsi="宋体"/>
          <w:kern w:val="0"/>
        </w:rPr>
      </w:pPr>
      <w:r>
        <w:rPr>
          <w:kern w:val="0"/>
        </w:rPr>
        <w:t>1.</w:t>
      </w:r>
      <w:r>
        <w:rPr>
          <w:rFonts w:hint="eastAsia" w:ascii="宋体" w:hAnsi="宋体"/>
          <w:kern w:val="0"/>
        </w:rPr>
        <w:t>本合同一式六份，甲方执四份，乙方执两份，双方签字</w:t>
      </w:r>
      <w:r>
        <w:rPr>
          <w:rFonts w:hint="eastAsia" w:ascii="宋体" w:hAnsi="宋体"/>
          <w:color w:val="000000"/>
          <w:kern w:val="0"/>
        </w:rPr>
        <w:t>并</w:t>
      </w:r>
      <w:r>
        <w:rPr>
          <w:rFonts w:hint="eastAsia" w:ascii="宋体" w:hAnsi="宋体"/>
          <w:kern w:val="0"/>
        </w:rPr>
        <w:t>盖章后生效，具有同等法律效力。合同未尽事宜</w:t>
      </w:r>
      <w:r>
        <w:rPr>
          <w:rFonts w:hint="eastAsia" w:ascii="宋体" w:hAnsi="宋体"/>
        </w:rPr>
        <w:t>双方</w:t>
      </w:r>
      <w:r>
        <w:rPr>
          <w:rFonts w:hint="eastAsia" w:ascii="宋体" w:hAnsi="宋体"/>
          <w:kern w:val="0"/>
        </w:rPr>
        <w:t>可协商解决或另立补充协议与本合同具有同等法律效力。</w:t>
      </w:r>
    </w:p>
    <w:p w14:paraId="4A05DC3A">
      <w:pPr>
        <w:snapToGrid w:val="0"/>
        <w:ind w:firstLine="420" w:firstLineChars="200"/>
        <w:jc w:val="both"/>
        <w:rPr>
          <w:rFonts w:hint="eastAsia" w:ascii="宋体" w:hAnsi="宋体"/>
          <w:kern w:val="0"/>
        </w:rPr>
      </w:pPr>
      <w:r>
        <w:rPr>
          <w:kern w:val="0"/>
        </w:rPr>
        <w:t>2.</w:t>
      </w:r>
      <w:r>
        <w:rPr>
          <w:rFonts w:hint="eastAsia" w:ascii="宋体" w:hAnsi="宋体"/>
          <w:kern w:val="0"/>
        </w:rPr>
        <w:t>在合同实施过程如双方出现争议，物资（设备）清单、技术参数、系统功能要求、甲方招标文件、乙方投标文件等均作为解决争议的参考文件，与本合同具有同等法律效力。</w:t>
      </w:r>
    </w:p>
    <w:p w14:paraId="5DDE72F0">
      <w:pPr>
        <w:snapToGrid w:val="0"/>
        <w:ind w:firstLine="420" w:firstLineChars="200"/>
        <w:jc w:val="both"/>
        <w:rPr>
          <w:rFonts w:hint="eastAsia" w:ascii="宋体" w:hAnsi="宋体"/>
          <w:color w:val="000000"/>
        </w:rPr>
      </w:pPr>
      <w:r>
        <w:rPr>
          <w:rFonts w:hint="eastAsia" w:ascii="宋体" w:hAnsi="宋体"/>
          <w:color w:val="000000"/>
        </w:rPr>
        <w:t>3.本合同项下任何一方向对方发出的通知、信件、数据电文等，应当发送至本合同下列约定的地址、联系人和通信终端。</w:t>
      </w:r>
    </w:p>
    <w:p w14:paraId="39EC412C">
      <w:pPr>
        <w:snapToGrid w:val="0"/>
        <w:ind w:firstLine="420" w:firstLineChars="200"/>
        <w:jc w:val="both"/>
        <w:rPr>
          <w:rFonts w:hint="eastAsia" w:ascii="宋体" w:hAnsi="宋体"/>
          <w:color w:val="000000"/>
        </w:rPr>
      </w:pPr>
      <w:r>
        <w:rPr>
          <w:rFonts w:hint="eastAsia" w:ascii="宋体" w:hAnsi="宋体"/>
          <w:color w:val="000000"/>
        </w:rPr>
        <w:t>甲方联系人：</w:t>
      </w:r>
      <w:r>
        <w:rPr>
          <w:rFonts w:hint="eastAsia" w:ascii="宋体" w:hAnsi="宋体"/>
          <w:color w:val="000000"/>
          <w:u w:val="single"/>
        </w:rPr>
        <w:t xml:space="preserve">             </w:t>
      </w:r>
    </w:p>
    <w:p w14:paraId="378D029C">
      <w:pPr>
        <w:snapToGrid w:val="0"/>
        <w:ind w:firstLine="420" w:firstLineChars="200"/>
        <w:jc w:val="both"/>
        <w:rPr>
          <w:rFonts w:hint="eastAsia" w:ascii="宋体" w:hAnsi="宋体"/>
          <w:color w:val="000000"/>
        </w:rPr>
      </w:pPr>
      <w:r>
        <w:rPr>
          <w:rFonts w:hint="eastAsia" w:ascii="宋体" w:hAnsi="宋体"/>
          <w:color w:val="000000"/>
        </w:rPr>
        <w:t>联系电话：</w:t>
      </w:r>
      <w:r>
        <w:rPr>
          <w:rFonts w:hint="eastAsia" w:ascii="宋体" w:hAnsi="宋体"/>
          <w:color w:val="000000"/>
          <w:u w:val="single"/>
        </w:rPr>
        <w:t xml:space="preserve">               </w:t>
      </w:r>
      <w:r>
        <w:rPr>
          <w:rFonts w:hint="eastAsia" w:ascii="宋体" w:hAnsi="宋体"/>
          <w:color w:val="000000"/>
        </w:rPr>
        <w:t xml:space="preserve"> </w:t>
      </w:r>
    </w:p>
    <w:p w14:paraId="37A9FB68">
      <w:pPr>
        <w:snapToGrid w:val="0"/>
        <w:ind w:firstLine="420" w:firstLineChars="200"/>
        <w:jc w:val="both"/>
        <w:rPr>
          <w:rFonts w:hint="eastAsia" w:ascii="宋体" w:hAnsi="宋体"/>
          <w:color w:val="000000"/>
        </w:rPr>
      </w:pPr>
      <w:r>
        <w:rPr>
          <w:rFonts w:hint="eastAsia" w:ascii="宋体" w:hAnsi="宋体"/>
          <w:color w:val="000000"/>
        </w:rPr>
        <w:t>联系地址：</w:t>
      </w:r>
      <w:r>
        <w:rPr>
          <w:rFonts w:hint="eastAsia" w:ascii="宋体" w:hAnsi="宋体"/>
          <w:color w:val="000000"/>
          <w:u w:val="single"/>
        </w:rPr>
        <w:t xml:space="preserve"> 陕西省西安市碑林区金花南路19号 </w:t>
      </w:r>
      <w:r>
        <w:rPr>
          <w:rFonts w:hint="eastAsia" w:ascii="宋体" w:hAnsi="宋体"/>
          <w:color w:val="000000"/>
        </w:rPr>
        <w:t xml:space="preserve">   邮编：</w:t>
      </w:r>
      <w:r>
        <w:rPr>
          <w:rFonts w:hint="eastAsia" w:ascii="宋体" w:hAnsi="宋体"/>
          <w:color w:val="000000"/>
          <w:u w:val="single"/>
        </w:rPr>
        <w:t>710048</w:t>
      </w:r>
    </w:p>
    <w:p w14:paraId="0F1E8B5E">
      <w:pPr>
        <w:snapToGrid w:val="0"/>
        <w:ind w:firstLine="420" w:firstLineChars="200"/>
        <w:jc w:val="both"/>
        <w:rPr>
          <w:rFonts w:hint="eastAsia" w:ascii="宋体" w:hAnsi="宋体"/>
          <w:color w:val="000000"/>
          <w:u w:val="single"/>
        </w:rPr>
      </w:pPr>
      <w:r>
        <w:rPr>
          <w:rFonts w:hint="eastAsia" w:ascii="宋体" w:hAnsi="宋体"/>
          <w:color w:val="000000"/>
        </w:rPr>
        <w:t>电子邮箱：</w:t>
      </w:r>
      <w:r>
        <w:rPr>
          <w:rFonts w:hint="eastAsia" w:ascii="宋体" w:hAnsi="宋体"/>
          <w:color w:val="000000"/>
          <w:u w:val="single"/>
        </w:rPr>
        <w:t xml:space="preserve">                                    </w:t>
      </w:r>
    </w:p>
    <w:p w14:paraId="21D54CAC">
      <w:pPr>
        <w:snapToGrid w:val="0"/>
        <w:ind w:firstLine="420" w:firstLineChars="200"/>
        <w:jc w:val="both"/>
        <w:rPr>
          <w:rFonts w:hint="eastAsia" w:ascii="宋体" w:hAnsi="宋体"/>
          <w:color w:val="000000"/>
        </w:rPr>
      </w:pPr>
      <w:r>
        <w:rPr>
          <w:rFonts w:hint="eastAsia" w:ascii="宋体" w:hAnsi="宋体"/>
          <w:color w:val="000000"/>
        </w:rPr>
        <w:t>乙方联系人：</w:t>
      </w:r>
      <w:r>
        <w:rPr>
          <w:rFonts w:hint="eastAsia" w:ascii="宋体" w:hAnsi="宋体"/>
          <w:color w:val="000000"/>
          <w:u w:val="single"/>
        </w:rPr>
        <w:t xml:space="preserve">             </w:t>
      </w:r>
    </w:p>
    <w:p w14:paraId="0EEB2CD1">
      <w:pPr>
        <w:snapToGrid w:val="0"/>
        <w:ind w:firstLine="420" w:firstLineChars="200"/>
        <w:jc w:val="both"/>
        <w:rPr>
          <w:rFonts w:hint="eastAsia" w:ascii="宋体" w:hAnsi="宋体"/>
          <w:color w:val="000000"/>
        </w:rPr>
      </w:pPr>
      <w:r>
        <w:rPr>
          <w:rFonts w:hint="eastAsia" w:ascii="宋体" w:hAnsi="宋体"/>
          <w:color w:val="000000"/>
        </w:rPr>
        <w:t>联系电话：</w:t>
      </w:r>
      <w:r>
        <w:rPr>
          <w:rFonts w:hint="eastAsia" w:ascii="宋体" w:hAnsi="宋体"/>
          <w:color w:val="000000"/>
          <w:u w:val="single"/>
        </w:rPr>
        <w:t xml:space="preserve">               </w:t>
      </w:r>
      <w:r>
        <w:rPr>
          <w:rFonts w:hint="eastAsia" w:ascii="宋体" w:hAnsi="宋体"/>
          <w:color w:val="000000"/>
        </w:rPr>
        <w:t xml:space="preserve"> </w:t>
      </w:r>
    </w:p>
    <w:p w14:paraId="6F230898">
      <w:pPr>
        <w:snapToGrid w:val="0"/>
        <w:ind w:firstLine="420" w:firstLineChars="200"/>
        <w:jc w:val="both"/>
        <w:rPr>
          <w:rFonts w:hint="eastAsia" w:ascii="宋体" w:hAnsi="宋体"/>
          <w:color w:val="000000"/>
        </w:rPr>
      </w:pPr>
      <w:r>
        <w:rPr>
          <w:rFonts w:hint="eastAsia" w:ascii="宋体" w:hAnsi="宋体"/>
          <w:color w:val="000000"/>
        </w:rPr>
        <w:t>联系地址：</w:t>
      </w:r>
      <w:r>
        <w:rPr>
          <w:rFonts w:hint="eastAsia" w:ascii="宋体" w:hAnsi="宋体"/>
          <w:color w:val="000000"/>
          <w:u w:val="single"/>
        </w:rPr>
        <w:t xml:space="preserve">                                           </w:t>
      </w:r>
      <w:r>
        <w:rPr>
          <w:rFonts w:hint="eastAsia" w:ascii="宋体" w:hAnsi="宋体"/>
          <w:color w:val="000000"/>
        </w:rPr>
        <w:t xml:space="preserve">     邮编：</w:t>
      </w:r>
      <w:r>
        <w:rPr>
          <w:rFonts w:hint="eastAsia" w:ascii="宋体" w:hAnsi="宋体"/>
          <w:color w:val="000000"/>
          <w:u w:val="single"/>
        </w:rPr>
        <w:t xml:space="preserve">            </w:t>
      </w:r>
    </w:p>
    <w:p w14:paraId="2E0D91AD">
      <w:pPr>
        <w:snapToGrid w:val="0"/>
        <w:ind w:firstLine="420" w:firstLineChars="200"/>
        <w:jc w:val="both"/>
        <w:rPr>
          <w:rFonts w:hint="eastAsia" w:ascii="宋体" w:hAnsi="宋体"/>
          <w:color w:val="000000"/>
        </w:rPr>
      </w:pPr>
      <w:r>
        <w:rPr>
          <w:rFonts w:hint="eastAsia" w:ascii="宋体" w:hAnsi="宋体"/>
          <w:color w:val="000000"/>
        </w:rPr>
        <w:t>电子邮箱：</w:t>
      </w:r>
      <w:r>
        <w:rPr>
          <w:rFonts w:hint="eastAsia" w:ascii="宋体" w:hAnsi="宋体"/>
          <w:color w:val="000000"/>
          <w:u w:val="single"/>
        </w:rPr>
        <w:t xml:space="preserve">                                     </w:t>
      </w:r>
    </w:p>
    <w:p w14:paraId="599A6766">
      <w:pPr>
        <w:ind w:firstLine="420" w:firstLineChars="200"/>
        <w:jc w:val="both"/>
        <w:rPr>
          <w:rFonts w:hint="eastAsia" w:ascii="宋体" w:hAnsi="宋体"/>
          <w:color w:val="000000"/>
        </w:rPr>
      </w:pPr>
      <w:r>
        <w:rPr>
          <w:rFonts w:hint="eastAsia" w:ascii="宋体" w:hAnsi="宋体"/>
          <w:color w:val="000000"/>
        </w:rPr>
        <w:t>送达时间以下列规定为准：</w:t>
      </w:r>
    </w:p>
    <w:p w14:paraId="137D8DD2">
      <w:pPr>
        <w:ind w:firstLine="420" w:firstLineChars="200"/>
        <w:jc w:val="both"/>
        <w:rPr>
          <w:rFonts w:hint="eastAsia" w:ascii="宋体" w:hAnsi="宋体"/>
          <w:color w:val="000000"/>
        </w:rPr>
      </w:pPr>
      <w:r>
        <w:rPr>
          <w:rFonts w:hint="eastAsia" w:ascii="宋体" w:hAnsi="宋体"/>
          <w:color w:val="000000"/>
        </w:rPr>
        <w:t>（</w:t>
      </w:r>
      <w:r>
        <w:rPr>
          <w:rFonts w:ascii="宋体" w:hAnsi="宋体"/>
          <w:color w:val="000000"/>
        </w:rPr>
        <w:t>1</w:t>
      </w:r>
      <w:r>
        <w:rPr>
          <w:rFonts w:hint="eastAsia" w:ascii="宋体" w:hAnsi="宋体"/>
          <w:color w:val="000000"/>
        </w:rPr>
        <w:t>）专人递送之日视为送达之日；</w:t>
      </w:r>
    </w:p>
    <w:p w14:paraId="52B67BFE">
      <w:pPr>
        <w:ind w:firstLine="420" w:firstLineChars="200"/>
        <w:jc w:val="both"/>
        <w:rPr>
          <w:rFonts w:hint="eastAsia" w:ascii="宋体" w:hAnsi="宋体"/>
          <w:color w:val="000000"/>
        </w:rPr>
      </w:pPr>
      <w:r>
        <w:rPr>
          <w:rFonts w:hint="eastAsia" w:ascii="宋体" w:hAnsi="宋体"/>
          <w:color w:val="000000"/>
        </w:rPr>
        <w:t>（</w:t>
      </w:r>
      <w:r>
        <w:rPr>
          <w:rFonts w:ascii="宋体" w:hAnsi="宋体"/>
          <w:color w:val="000000"/>
        </w:rPr>
        <w:t>2</w:t>
      </w:r>
      <w:r>
        <w:rPr>
          <w:rFonts w:hint="eastAsia" w:ascii="宋体" w:hAnsi="宋体"/>
          <w:color w:val="000000"/>
        </w:rPr>
        <w:t>）以邮寄方式进行的通知均应采用邮政挂号快件或特快专递的方式进行，自信件交邮后的第2日视为送达；</w:t>
      </w:r>
    </w:p>
    <w:p w14:paraId="3DBF9CC9">
      <w:pPr>
        <w:ind w:firstLine="420" w:firstLineChars="200"/>
        <w:jc w:val="both"/>
        <w:rPr>
          <w:rFonts w:hint="eastAsia" w:ascii="宋体" w:hAnsi="宋体"/>
          <w:color w:val="000000"/>
        </w:rPr>
      </w:pPr>
      <w:r>
        <w:rPr>
          <w:rFonts w:hint="eastAsia" w:ascii="宋体" w:hAnsi="宋体"/>
          <w:color w:val="000000"/>
        </w:rPr>
        <w:t>（</w:t>
      </w:r>
      <w:r>
        <w:rPr>
          <w:rFonts w:ascii="宋体" w:hAnsi="宋体"/>
          <w:color w:val="000000"/>
        </w:rPr>
        <w:t>3</w:t>
      </w:r>
      <w:r>
        <w:rPr>
          <w:rFonts w:hint="eastAsia" w:ascii="宋体" w:hAnsi="宋体"/>
          <w:color w:val="000000"/>
        </w:rPr>
        <w:t>）短信、传真、微信、电子邮件以顺利发出当天后的第一个工作日视为送达之日；</w:t>
      </w:r>
    </w:p>
    <w:p w14:paraId="7AEE98DE">
      <w:pPr>
        <w:ind w:firstLine="420" w:firstLineChars="200"/>
        <w:jc w:val="both"/>
        <w:rPr>
          <w:rFonts w:hint="eastAsia" w:ascii="宋体" w:hAnsi="宋体"/>
          <w:color w:val="000000"/>
        </w:rPr>
      </w:pPr>
      <w:r>
        <w:rPr>
          <w:rFonts w:hint="eastAsia" w:ascii="宋体" w:hAnsi="宋体"/>
          <w:color w:val="000000"/>
        </w:rPr>
        <w:t>（4）</w:t>
      </w:r>
      <w:r>
        <w:rPr>
          <w:rFonts w:ascii="宋体" w:hAnsi="宋体"/>
          <w:color w:val="000000"/>
        </w:rPr>
        <w:t>一方当事人变更名称、地址、联系人或通信终端的，应当在变更后3日内及时书面通知对方当事人，对方当事人实际收到变更通知前的送达仍为有效送达，电子送达与书面送达具有同等法律效力。</w:t>
      </w:r>
    </w:p>
    <w:p w14:paraId="2E6B724A">
      <w:pPr>
        <w:snapToGrid w:val="0"/>
        <w:ind w:firstLine="420" w:firstLineChars="200"/>
        <w:jc w:val="both"/>
        <w:rPr>
          <w:rFonts w:hint="eastAsia" w:hAnsi="宋体"/>
          <w:color w:val="000000"/>
          <w:kern w:val="0"/>
        </w:rPr>
      </w:pPr>
      <w:r>
        <w:rPr>
          <w:rFonts w:hint="eastAsia"/>
          <w:color w:val="000000"/>
          <w:kern w:val="0"/>
        </w:rPr>
        <w:t>4</w:t>
      </w:r>
      <w:r>
        <w:rPr>
          <w:color w:val="000000"/>
          <w:kern w:val="0"/>
        </w:rPr>
        <w:t>.</w:t>
      </w:r>
      <w:r>
        <w:rPr>
          <w:rFonts w:hAnsi="宋体"/>
          <w:color w:val="000000"/>
          <w:kern w:val="0"/>
        </w:rPr>
        <w:t>合同签订地点：西安</w:t>
      </w:r>
      <w:r>
        <w:rPr>
          <w:color w:val="000000"/>
          <w:kern w:val="0"/>
        </w:rPr>
        <w:t>·</w:t>
      </w:r>
      <w:r>
        <w:rPr>
          <w:rFonts w:hAnsi="宋体"/>
          <w:color w:val="000000"/>
          <w:kern w:val="0"/>
        </w:rPr>
        <w:t>西安工程大学</w:t>
      </w:r>
      <w:r>
        <w:rPr>
          <w:rFonts w:hint="eastAsia" w:hAnsi="宋体"/>
          <w:color w:val="000000"/>
          <w:kern w:val="0"/>
        </w:rPr>
        <w:t>（      校区）</w:t>
      </w:r>
    </w:p>
    <w:p w14:paraId="6B0C3B40">
      <w:pPr>
        <w:snapToGrid w:val="0"/>
        <w:ind w:firstLine="420" w:firstLineChars="200"/>
        <w:jc w:val="both"/>
        <w:rPr>
          <w:rFonts w:hint="eastAsia" w:hAnsi="宋体"/>
          <w:kern w:val="0"/>
        </w:rPr>
      </w:pPr>
      <w:r>
        <w:rPr>
          <w:rFonts w:hint="eastAsia" w:hAnsi="宋体"/>
          <w:kern w:val="0"/>
        </w:rPr>
        <w:t>5</w:t>
      </w:r>
      <w:r>
        <w:rPr>
          <w:rFonts w:hAnsi="宋体"/>
          <w:kern w:val="0"/>
        </w:rPr>
        <w:t>.</w:t>
      </w:r>
      <w:r>
        <w:rPr>
          <w:rFonts w:hint="eastAsia" w:hAnsi="宋体"/>
          <w:kern w:val="0"/>
        </w:rPr>
        <w:t>合同签订时间：________年_____月_____日</w:t>
      </w:r>
    </w:p>
    <w:p w14:paraId="6303A332">
      <w:pPr>
        <w:widowControl/>
        <w:ind w:firstLine="61"/>
        <w:rPr>
          <w:rFonts w:hint="eastAsia" w:ascii="宋体" w:hAnsi="宋体" w:cs="宋体"/>
          <w:kern w:val="0"/>
        </w:rPr>
      </w:pPr>
      <w:r>
        <w:rPr>
          <w:rFonts w:hint="eastAsia" w:ascii="宋体" w:hAnsi="宋体" w:cs="宋体"/>
          <w:bCs/>
          <w:kern w:val="0"/>
        </w:rPr>
        <w:t>需方（甲方）</w:t>
      </w:r>
      <w:r>
        <w:rPr>
          <w:rFonts w:hint="eastAsia" w:ascii="宋体" w:hAnsi="宋体" w:cs="宋体"/>
          <w:kern w:val="0"/>
        </w:rPr>
        <w:t xml:space="preserve">：西安工程大学                   </w:t>
      </w:r>
      <w:r>
        <w:rPr>
          <w:rFonts w:hint="eastAsia" w:ascii="宋体" w:hAnsi="宋体" w:cs="宋体"/>
          <w:bCs/>
          <w:kern w:val="0"/>
        </w:rPr>
        <w:t>供方（</w:t>
      </w:r>
      <w:r>
        <w:rPr>
          <w:rFonts w:hint="eastAsia" w:ascii="宋体" w:hAnsi="宋体" w:cs="宋体"/>
          <w:kern w:val="0"/>
        </w:rPr>
        <w:t xml:space="preserve">乙方）： </w:t>
      </w:r>
    </w:p>
    <w:p w14:paraId="1D98B3CC">
      <w:pPr>
        <w:widowControl/>
        <w:ind w:firstLine="52"/>
        <w:rPr>
          <w:rFonts w:hint="eastAsia" w:ascii="宋体" w:hAnsi="宋体" w:cs="宋体"/>
          <w:spacing w:val="-16"/>
          <w:kern w:val="0"/>
        </w:rPr>
      </w:pPr>
      <w:r>
        <w:rPr>
          <w:rFonts w:hint="eastAsia" w:ascii="宋体" w:hAnsi="宋体" w:cs="宋体"/>
          <w:spacing w:val="-16"/>
          <w:kern w:val="0"/>
        </w:rPr>
        <w:t>法定代表人：                                                  法定代表人：</w:t>
      </w:r>
    </w:p>
    <w:p w14:paraId="06364B8A">
      <w:pPr>
        <w:widowControl/>
        <w:ind w:firstLine="52"/>
        <w:rPr>
          <w:rFonts w:hint="eastAsia" w:ascii="宋体" w:hAnsi="宋体" w:cs="宋体"/>
          <w:spacing w:val="-16"/>
          <w:kern w:val="0"/>
        </w:rPr>
      </w:pPr>
      <w:r>
        <w:rPr>
          <w:rFonts w:hint="eastAsia" w:ascii="宋体" w:hAnsi="宋体" w:cs="宋体"/>
          <w:spacing w:val="-16"/>
          <w:kern w:val="0"/>
        </w:rPr>
        <w:t xml:space="preserve">授权代表：  </w:t>
      </w:r>
      <w:r>
        <w:rPr>
          <w:rFonts w:hint="eastAsia" w:ascii="宋体" w:hAnsi="宋体" w:cs="宋体"/>
          <w:kern w:val="0"/>
        </w:rPr>
        <w:t xml:space="preserve">                       </w:t>
      </w:r>
      <w:r>
        <w:rPr>
          <w:rFonts w:hint="eastAsia" w:ascii="宋体" w:hAnsi="宋体" w:cs="宋体"/>
          <w:spacing w:val="-16"/>
          <w:kern w:val="0"/>
        </w:rPr>
        <w:t xml:space="preserve">    　           授权代表：</w:t>
      </w:r>
    </w:p>
    <w:p w14:paraId="6BFCA9F9">
      <w:pPr>
        <w:widowControl/>
        <w:ind w:firstLine="52"/>
        <w:jc w:val="both"/>
        <w:rPr>
          <w:rFonts w:hint="eastAsia" w:ascii="宋体" w:hAnsi="宋体" w:cs="宋体"/>
          <w:spacing w:val="-16"/>
          <w:kern w:val="0"/>
        </w:rPr>
      </w:pPr>
      <w:r>
        <w:rPr>
          <w:rFonts w:hint="eastAsia" w:ascii="宋体" w:hAnsi="宋体" w:cs="宋体"/>
          <w:spacing w:val="-16"/>
          <w:kern w:val="0"/>
        </w:rPr>
        <w:t xml:space="preserve">电话：                                                        </w:t>
      </w:r>
      <w:r>
        <w:rPr>
          <w:rFonts w:ascii="宋体" w:hAnsi="宋体" w:cs="宋体"/>
          <w:spacing w:val="-16"/>
          <w:kern w:val="0"/>
        </w:rPr>
        <w:t xml:space="preserve"> </w:t>
      </w:r>
      <w:r>
        <w:rPr>
          <w:rFonts w:hint="eastAsia" w:ascii="宋体" w:hAnsi="宋体" w:cs="宋体"/>
          <w:spacing w:val="-16"/>
          <w:kern w:val="0"/>
        </w:rPr>
        <w:t xml:space="preserve"> 电话：</w:t>
      </w:r>
      <w:r>
        <w:rPr>
          <w:spacing w:val="-16"/>
          <w:kern w:val="0"/>
        </w:rPr>
        <w:t>029-</w:t>
      </w:r>
    </w:p>
    <w:p w14:paraId="4594B853">
      <w:pPr>
        <w:widowControl/>
        <w:ind w:firstLine="52"/>
        <w:rPr>
          <w:rFonts w:hint="eastAsia" w:ascii="宋体" w:hAnsi="宋体" w:cs="宋体"/>
          <w:spacing w:val="-16"/>
          <w:kern w:val="0"/>
        </w:rPr>
      </w:pPr>
      <w:r>
        <w:rPr>
          <w:rFonts w:hint="eastAsia" w:ascii="宋体" w:hAnsi="宋体" w:cs="宋体"/>
          <w:spacing w:val="-16"/>
          <w:kern w:val="0"/>
        </w:rPr>
        <w:t xml:space="preserve">传真：                                                         </w:t>
      </w:r>
      <w:r>
        <w:rPr>
          <w:rFonts w:ascii="宋体" w:hAnsi="宋体" w:cs="宋体"/>
          <w:spacing w:val="-16"/>
          <w:kern w:val="0"/>
        </w:rPr>
        <w:t xml:space="preserve"> </w:t>
      </w:r>
      <w:r>
        <w:rPr>
          <w:rFonts w:hint="eastAsia" w:ascii="宋体" w:hAnsi="宋体" w:cs="宋体"/>
          <w:spacing w:val="-16"/>
          <w:kern w:val="0"/>
        </w:rPr>
        <w:t>传真：</w:t>
      </w:r>
      <w:r>
        <w:rPr>
          <w:spacing w:val="-16"/>
          <w:kern w:val="0"/>
        </w:rPr>
        <w:t>029-</w:t>
      </w:r>
      <w:r>
        <w:rPr>
          <w:rFonts w:hint="eastAsia" w:ascii="宋体" w:hAnsi="宋体" w:cs="宋体"/>
          <w:spacing w:val="-16"/>
          <w:kern w:val="0"/>
        </w:rPr>
        <w:t xml:space="preserve">  </w:t>
      </w:r>
    </w:p>
    <w:p w14:paraId="3B25E494">
      <w:pPr>
        <w:rPr>
          <w:rFonts w:hint="eastAsia" w:ascii="宋体" w:hAnsi="宋体" w:cs="宋体"/>
          <w:spacing w:val="-16"/>
          <w:kern w:val="0"/>
        </w:rPr>
      </w:pPr>
      <w:r>
        <w:rPr>
          <w:rFonts w:hint="eastAsia" w:ascii="宋体" w:hAnsi="宋体" w:cs="宋体"/>
          <w:spacing w:val="-16"/>
          <w:kern w:val="0"/>
        </w:rPr>
        <w:br w:type="page"/>
      </w:r>
    </w:p>
    <w:p w14:paraId="71E401A2">
      <w:pPr>
        <w:widowControl/>
        <w:ind w:firstLine="52"/>
        <w:rPr>
          <w:rFonts w:hint="eastAsia" w:ascii="宋体" w:hAnsi="宋体" w:cs="宋体"/>
          <w:spacing w:val="-16"/>
          <w:kern w:val="0"/>
          <w:lang w:val="en-US" w:eastAsia="zh-CN"/>
        </w:rPr>
      </w:pPr>
      <w:r>
        <w:rPr>
          <w:rFonts w:hint="eastAsia" w:ascii="宋体" w:hAnsi="宋体" w:cs="宋体"/>
          <w:spacing w:val="-16"/>
          <w:kern w:val="0"/>
          <w:lang w:eastAsia="zh-CN"/>
        </w:rPr>
        <w:t>采购包</w:t>
      </w:r>
      <w:r>
        <w:rPr>
          <w:rFonts w:hint="eastAsia" w:ascii="宋体" w:hAnsi="宋体" w:cs="宋体"/>
          <w:spacing w:val="-16"/>
          <w:kern w:val="0"/>
          <w:lang w:val="en-US" w:eastAsia="zh-CN"/>
        </w:rPr>
        <w:t>2：</w:t>
      </w:r>
    </w:p>
    <w:p w14:paraId="03A3C06A">
      <w:pPr>
        <w:snapToGrid w:val="0"/>
        <w:spacing w:before="156" w:beforeLines="50" w:line="360" w:lineRule="auto"/>
        <w:ind w:firstLine="5431" w:firstLineChars="2576"/>
        <w:rPr>
          <w:rFonts w:hint="eastAsia" w:ascii="宋体" w:hAnsi="宋体"/>
          <w:color w:val="FF0000"/>
        </w:rPr>
      </w:pPr>
      <w:r>
        <w:rPr>
          <w:rFonts w:hint="eastAsia" w:ascii="宋体" w:hAnsi="宋体" w:cs="宋体"/>
          <w:b/>
          <w:bCs/>
          <w:kern w:val="0"/>
        </w:rPr>
        <w:t>合同编号：</w:t>
      </w:r>
    </w:p>
    <w:p w14:paraId="3C195FF3">
      <w:pPr>
        <w:widowControl/>
        <w:spacing w:before="156" w:beforeLines="50" w:after="156" w:afterLines="50" w:line="360" w:lineRule="auto"/>
        <w:ind w:firstLine="560" w:firstLineChars="200"/>
        <w:jc w:val="center"/>
        <w:rPr>
          <w:rFonts w:hint="eastAsia" w:ascii="宋体" w:hAnsi="宋体" w:cs="宋体"/>
          <w:b/>
          <w:bCs/>
          <w:color w:val="000000"/>
          <w:kern w:val="0"/>
          <w:sz w:val="32"/>
          <w:szCs w:val="32"/>
        </w:rPr>
      </w:pPr>
      <w:r>
        <w:rPr>
          <w:rFonts w:hint="eastAsia" w:ascii="仿宋" w:hAnsi="仿宋" w:eastAsia="仿宋" w:cs="仿宋"/>
          <w:sz w:val="28"/>
          <w:szCs w:val="28"/>
          <w:u w:val="single"/>
        </w:rPr>
        <w:t xml:space="preserve"> </w:t>
      </w:r>
      <w:r>
        <w:rPr>
          <w:rFonts w:ascii="仿宋" w:hAnsi="仿宋" w:eastAsia="仿宋" w:cs="仿宋"/>
          <w:sz w:val="28"/>
          <w:szCs w:val="28"/>
          <w:u w:val="single"/>
        </w:rPr>
        <w:t xml:space="preserve">               </w:t>
      </w:r>
      <w:r>
        <w:rPr>
          <w:rFonts w:hint="eastAsia" w:ascii="宋体" w:hAnsi="宋体"/>
          <w:b/>
          <w:bCs/>
          <w:color w:val="000000"/>
          <w:sz w:val="32"/>
          <w:szCs w:val="32"/>
        </w:rPr>
        <w:t>供货合同</w:t>
      </w:r>
    </w:p>
    <w:p w14:paraId="3482C505">
      <w:pPr>
        <w:widowControl/>
        <w:spacing w:line="360" w:lineRule="auto"/>
        <w:rPr>
          <w:rFonts w:hint="eastAsia" w:ascii="宋体" w:hAnsi="宋体" w:cs="宋体"/>
          <w:b/>
          <w:color w:val="000000"/>
          <w:kern w:val="0"/>
          <w:u w:val="single"/>
        </w:rPr>
      </w:pPr>
      <w:r>
        <w:rPr>
          <w:rFonts w:hint="eastAsia" w:ascii="宋体" w:hAnsi="宋体" w:cs="宋体"/>
          <w:b/>
          <w:bCs/>
          <w:color w:val="000000"/>
          <w:kern w:val="0"/>
        </w:rPr>
        <w:t xml:space="preserve">需方（以下简称“甲方”）：西安工程大学                     </w:t>
      </w:r>
    </w:p>
    <w:p w14:paraId="17CD1F32">
      <w:pPr>
        <w:widowControl/>
        <w:spacing w:line="360" w:lineRule="auto"/>
        <w:rPr>
          <w:rFonts w:hint="eastAsia" w:ascii="宋体" w:hAnsi="宋体" w:cs="宋体"/>
          <w:b/>
          <w:bCs/>
          <w:color w:val="000000"/>
          <w:kern w:val="0"/>
        </w:rPr>
      </w:pPr>
      <w:r>
        <w:rPr>
          <w:rFonts w:hint="eastAsia" w:ascii="宋体" w:hAnsi="宋体" w:cs="宋体"/>
          <w:b/>
          <w:bCs/>
          <w:color w:val="000000"/>
          <w:kern w:val="0"/>
        </w:rPr>
        <w:t xml:space="preserve">供方（以下简称“乙方”）： </w:t>
      </w:r>
      <w:r>
        <w:rPr>
          <w:rFonts w:hint="eastAsia" w:ascii="宋体" w:hAnsi="宋体" w:cs="宋体"/>
          <w:b/>
          <w:bCs/>
          <w:color w:val="000000"/>
          <w:kern w:val="0"/>
          <w:u w:val="single"/>
        </w:rPr>
        <w:t xml:space="preserve">                   </w:t>
      </w:r>
      <w:r>
        <w:rPr>
          <w:rFonts w:hint="eastAsia" w:ascii="宋体" w:hAnsi="宋体" w:cs="宋体"/>
          <w:b/>
          <w:bCs/>
          <w:color w:val="000000"/>
          <w:kern w:val="0"/>
        </w:rPr>
        <w:t xml:space="preserve">   </w:t>
      </w:r>
    </w:p>
    <w:p w14:paraId="3332747E">
      <w:pPr>
        <w:widowControl/>
        <w:spacing w:line="320" w:lineRule="exact"/>
        <w:ind w:firstLine="539" w:firstLineChars="257"/>
        <w:jc w:val="left"/>
        <w:rPr>
          <w:rFonts w:hint="eastAsia" w:ascii="宋体" w:hAnsi="宋体"/>
          <w:color w:val="000000"/>
        </w:rPr>
      </w:pPr>
      <w:r>
        <w:rPr>
          <w:rFonts w:hint="eastAsia" w:ascii="宋体" w:hAnsi="宋体"/>
          <w:color w:val="000000"/>
        </w:rPr>
        <w:t>依据《中华人民共和国民法典》等法律法规规定，以及</w:t>
      </w:r>
      <w:r>
        <w:rPr>
          <w:rFonts w:hint="eastAsia" w:ascii="宋体" w:hAnsi="宋体"/>
          <w:color w:val="000000"/>
          <w:u w:val="single"/>
        </w:rPr>
        <w:t xml:space="preserve"> </w:t>
      </w:r>
      <w:r>
        <w:rPr>
          <w:rFonts w:hint="eastAsia" w:ascii="仿宋" w:hAnsi="仿宋" w:eastAsia="仿宋" w:cs="仿宋"/>
          <w:sz w:val="24"/>
          <w:szCs w:val="24"/>
          <w:u w:val="single"/>
        </w:rPr>
        <w:t xml:space="preserve"> </w:t>
      </w:r>
      <w:r>
        <w:rPr>
          <w:rFonts w:ascii="仿宋" w:hAnsi="仿宋" w:eastAsia="仿宋" w:cs="仿宋"/>
          <w:sz w:val="24"/>
          <w:szCs w:val="24"/>
          <w:u w:val="single"/>
        </w:rPr>
        <w:t xml:space="preserve">                     </w:t>
      </w:r>
      <w:r>
        <w:rPr>
          <w:rFonts w:hint="eastAsia" w:ascii="宋体" w:hAnsi="宋体"/>
          <w:color w:val="000000"/>
        </w:rPr>
        <w:t>项目（项目编号：</w:t>
      </w:r>
      <w:r>
        <w:rPr>
          <w:rFonts w:hint="eastAsia" w:ascii="宋体" w:hAnsi="宋体"/>
          <w:color w:val="000000"/>
          <w:u w:val="single"/>
        </w:rPr>
        <w:t xml:space="preserve">        </w:t>
      </w:r>
      <w:r>
        <w:rPr>
          <w:rFonts w:hint="eastAsia" w:ascii="宋体" w:hAnsi="宋体"/>
          <w:color w:val="000000"/>
        </w:rPr>
        <w:t>）的《招标文件/竞争性谈判/磋商文件》《投标文件/竞争性谈判/磋商响应文件》《中标/成交通知书》经双方协商同意，签订本合同并信守下列条款，共同严格履行。</w:t>
      </w:r>
    </w:p>
    <w:p w14:paraId="31ABC983">
      <w:pPr>
        <w:widowControl/>
        <w:spacing w:line="320" w:lineRule="exact"/>
        <w:jc w:val="left"/>
        <w:rPr>
          <w:rFonts w:hint="eastAsia" w:ascii="宋体" w:hAnsi="宋体" w:cs="宋体"/>
          <w:color w:val="000000"/>
          <w:kern w:val="0"/>
        </w:rPr>
      </w:pPr>
      <w:r>
        <w:rPr>
          <w:rFonts w:hint="eastAsia" w:ascii="宋体" w:hAnsi="宋体" w:cs="宋体"/>
          <w:color w:val="000000"/>
          <w:kern w:val="0"/>
        </w:rPr>
        <w:t>一、</w:t>
      </w:r>
      <w:r>
        <w:rPr>
          <w:rFonts w:hint="eastAsia" w:ascii="宋体" w:hAnsi="宋体" w:cs="宋体"/>
          <w:b/>
          <w:color w:val="000000"/>
          <w:kern w:val="0"/>
        </w:rPr>
        <w:t>产品名称、数量、价格：</w:t>
      </w:r>
    </w:p>
    <w:p w14:paraId="265E61DC">
      <w:pPr>
        <w:widowControl/>
        <w:spacing w:line="320" w:lineRule="exact"/>
        <w:ind w:firstLine="420" w:firstLineChars="200"/>
        <w:jc w:val="left"/>
        <w:rPr>
          <w:rFonts w:hint="eastAsia" w:ascii="宋体" w:hAnsi="宋体"/>
          <w:color w:val="000000"/>
        </w:rPr>
      </w:pPr>
    </w:p>
    <w:tbl>
      <w:tblPr>
        <w:tblStyle w:val="8"/>
        <w:tblpPr w:leftFromText="180" w:rightFromText="180" w:vertAnchor="text" w:horzAnchor="margin" w:tblpXSpec="center" w:tblpY="-178"/>
        <w:tblOverlap w:val="never"/>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67"/>
        <w:gridCol w:w="1079"/>
        <w:gridCol w:w="1439"/>
        <w:gridCol w:w="900"/>
        <w:gridCol w:w="900"/>
        <w:gridCol w:w="720"/>
        <w:gridCol w:w="720"/>
        <w:gridCol w:w="1080"/>
        <w:gridCol w:w="1080"/>
        <w:gridCol w:w="723"/>
      </w:tblGrid>
      <w:tr w14:paraId="5E86986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3" w:hRule="atLeast"/>
        </w:trPr>
        <w:tc>
          <w:tcPr>
            <w:tcW w:w="467" w:type="dxa"/>
            <w:tcBorders>
              <w:top w:val="single" w:color="auto" w:sz="4" w:space="0"/>
              <w:left w:val="single" w:color="auto" w:sz="4" w:space="0"/>
              <w:bottom w:val="single" w:color="auto" w:sz="4" w:space="0"/>
              <w:right w:val="single" w:color="auto" w:sz="4" w:space="0"/>
            </w:tcBorders>
            <w:vAlign w:val="center"/>
          </w:tcPr>
          <w:p w14:paraId="0DDD0267">
            <w:pPr>
              <w:widowControl/>
              <w:spacing w:line="320" w:lineRule="exact"/>
              <w:jc w:val="center"/>
              <w:rPr>
                <w:rFonts w:hint="eastAsia" w:ascii="宋体" w:hAnsi="宋体" w:cs="宋体"/>
                <w:color w:val="000000"/>
                <w:kern w:val="0"/>
              </w:rPr>
            </w:pPr>
            <w:r>
              <w:rPr>
                <w:rFonts w:hint="eastAsia" w:ascii="宋体" w:hAnsi="宋体" w:cs="宋体"/>
                <w:color w:val="000000"/>
                <w:kern w:val="0"/>
              </w:rPr>
              <w:t>序号</w:t>
            </w:r>
          </w:p>
        </w:tc>
        <w:tc>
          <w:tcPr>
            <w:tcW w:w="1079" w:type="dxa"/>
            <w:tcBorders>
              <w:top w:val="single" w:color="auto" w:sz="4" w:space="0"/>
              <w:left w:val="single" w:color="auto" w:sz="4" w:space="0"/>
              <w:bottom w:val="single" w:color="auto" w:sz="4" w:space="0"/>
              <w:right w:val="single" w:color="auto" w:sz="4" w:space="0"/>
            </w:tcBorders>
            <w:vAlign w:val="center"/>
          </w:tcPr>
          <w:p w14:paraId="72B1D5D9">
            <w:pPr>
              <w:spacing w:line="320" w:lineRule="exact"/>
              <w:jc w:val="center"/>
              <w:rPr>
                <w:rFonts w:hint="eastAsia" w:ascii="宋体" w:hAnsi="宋体" w:cs="宋体"/>
                <w:color w:val="000000"/>
                <w:kern w:val="0"/>
              </w:rPr>
            </w:pPr>
            <w:r>
              <w:rPr>
                <w:rFonts w:hint="eastAsia" w:ascii="宋体" w:hAnsi="宋体" w:cs="宋体"/>
                <w:color w:val="000000"/>
                <w:kern w:val="0"/>
              </w:rPr>
              <w:t>产品名称</w:t>
            </w:r>
          </w:p>
        </w:tc>
        <w:tc>
          <w:tcPr>
            <w:tcW w:w="1439" w:type="dxa"/>
            <w:tcBorders>
              <w:top w:val="single" w:color="auto" w:sz="4" w:space="0"/>
              <w:left w:val="single" w:color="auto" w:sz="4" w:space="0"/>
              <w:bottom w:val="single" w:color="auto" w:sz="4" w:space="0"/>
              <w:right w:val="single" w:color="auto" w:sz="4" w:space="0"/>
            </w:tcBorders>
            <w:vAlign w:val="center"/>
          </w:tcPr>
          <w:p w14:paraId="2B65DB05">
            <w:pPr>
              <w:widowControl/>
              <w:spacing w:line="320" w:lineRule="exact"/>
              <w:jc w:val="center"/>
              <w:rPr>
                <w:rFonts w:hint="eastAsia" w:ascii="宋体" w:hAnsi="宋体" w:cs="宋体"/>
                <w:color w:val="000000"/>
                <w:kern w:val="0"/>
              </w:rPr>
            </w:pPr>
            <w:r>
              <w:rPr>
                <w:rFonts w:hint="eastAsia" w:ascii="宋体" w:hAnsi="宋体" w:cs="宋体"/>
                <w:color w:val="000000"/>
                <w:kern w:val="0"/>
              </w:rPr>
              <w:t>规格型号</w:t>
            </w:r>
          </w:p>
        </w:tc>
        <w:tc>
          <w:tcPr>
            <w:tcW w:w="900" w:type="dxa"/>
            <w:tcBorders>
              <w:top w:val="single" w:color="auto" w:sz="4" w:space="0"/>
              <w:left w:val="single" w:color="auto" w:sz="4" w:space="0"/>
              <w:bottom w:val="single" w:color="auto" w:sz="4" w:space="0"/>
              <w:right w:val="single" w:color="auto" w:sz="4" w:space="0"/>
            </w:tcBorders>
            <w:vAlign w:val="center"/>
          </w:tcPr>
          <w:p w14:paraId="7D902BF3">
            <w:pPr>
              <w:widowControl/>
              <w:spacing w:line="320" w:lineRule="exact"/>
              <w:jc w:val="center"/>
              <w:rPr>
                <w:rFonts w:hint="eastAsia" w:ascii="宋体" w:hAnsi="宋体" w:cs="宋体"/>
                <w:color w:val="000000"/>
                <w:kern w:val="0"/>
              </w:rPr>
            </w:pPr>
            <w:r>
              <w:rPr>
                <w:rFonts w:hint="eastAsia" w:ascii="宋体" w:hAnsi="宋体" w:cs="宋体"/>
                <w:color w:val="000000"/>
                <w:kern w:val="0"/>
              </w:rPr>
              <w:t>品牌</w:t>
            </w:r>
          </w:p>
          <w:p w14:paraId="1EF30104">
            <w:pPr>
              <w:widowControl/>
              <w:spacing w:line="320" w:lineRule="exact"/>
              <w:jc w:val="center"/>
              <w:rPr>
                <w:rFonts w:hint="eastAsia" w:ascii="宋体" w:hAnsi="宋体" w:cs="宋体"/>
                <w:color w:val="000000"/>
                <w:kern w:val="0"/>
              </w:rPr>
            </w:pPr>
            <w:r>
              <w:rPr>
                <w:rFonts w:hint="eastAsia" w:ascii="宋体" w:hAnsi="宋体" w:cs="宋体"/>
                <w:color w:val="000000"/>
                <w:kern w:val="0"/>
              </w:rPr>
              <w:t>商标</w:t>
            </w:r>
          </w:p>
        </w:tc>
        <w:tc>
          <w:tcPr>
            <w:tcW w:w="900" w:type="dxa"/>
            <w:tcBorders>
              <w:top w:val="single" w:color="auto" w:sz="4" w:space="0"/>
              <w:left w:val="single" w:color="auto" w:sz="4" w:space="0"/>
              <w:bottom w:val="single" w:color="auto" w:sz="4" w:space="0"/>
              <w:right w:val="single" w:color="auto" w:sz="4" w:space="0"/>
            </w:tcBorders>
            <w:vAlign w:val="center"/>
          </w:tcPr>
          <w:p w14:paraId="6B7AB41E">
            <w:pPr>
              <w:widowControl/>
              <w:spacing w:line="320" w:lineRule="exact"/>
              <w:ind w:left="105" w:hanging="105" w:hangingChars="50"/>
              <w:jc w:val="center"/>
              <w:rPr>
                <w:rFonts w:hint="eastAsia" w:ascii="宋体" w:hAnsi="宋体" w:cs="宋体"/>
                <w:color w:val="000000"/>
                <w:kern w:val="0"/>
              </w:rPr>
            </w:pPr>
            <w:r>
              <w:rPr>
                <w:rFonts w:hint="eastAsia" w:ascii="宋体" w:hAnsi="宋体" w:cs="宋体"/>
                <w:color w:val="000000"/>
                <w:kern w:val="0"/>
              </w:rPr>
              <w:t>生产</w:t>
            </w:r>
          </w:p>
          <w:p w14:paraId="5D5CCF8B">
            <w:pPr>
              <w:widowControl/>
              <w:spacing w:line="320" w:lineRule="exact"/>
              <w:ind w:left="105" w:hanging="105" w:hangingChars="50"/>
              <w:jc w:val="center"/>
              <w:rPr>
                <w:rFonts w:hint="eastAsia" w:ascii="宋体" w:hAnsi="宋体" w:cs="宋体"/>
                <w:color w:val="000000"/>
                <w:kern w:val="0"/>
              </w:rPr>
            </w:pPr>
            <w:r>
              <w:rPr>
                <w:rFonts w:hint="eastAsia" w:ascii="宋体" w:hAnsi="宋体" w:cs="宋体"/>
                <w:color w:val="000000"/>
                <w:kern w:val="0"/>
              </w:rPr>
              <w:t>厂商</w:t>
            </w:r>
          </w:p>
        </w:tc>
        <w:tc>
          <w:tcPr>
            <w:tcW w:w="720" w:type="dxa"/>
            <w:tcBorders>
              <w:top w:val="single" w:color="auto" w:sz="4" w:space="0"/>
              <w:left w:val="single" w:color="auto" w:sz="4" w:space="0"/>
              <w:bottom w:val="single" w:color="auto" w:sz="4" w:space="0"/>
              <w:right w:val="single" w:color="auto" w:sz="4" w:space="0"/>
            </w:tcBorders>
            <w:vAlign w:val="center"/>
          </w:tcPr>
          <w:p w14:paraId="4C92F005">
            <w:pPr>
              <w:widowControl/>
              <w:spacing w:line="320" w:lineRule="exact"/>
              <w:jc w:val="center"/>
              <w:rPr>
                <w:rFonts w:hint="eastAsia" w:ascii="宋体" w:hAnsi="宋体" w:cs="宋体"/>
                <w:color w:val="000000"/>
                <w:kern w:val="0"/>
              </w:rPr>
            </w:pPr>
            <w:r>
              <w:rPr>
                <w:rFonts w:hint="eastAsia" w:ascii="宋体" w:hAnsi="宋体" w:cs="宋体"/>
                <w:color w:val="000000"/>
                <w:kern w:val="0"/>
              </w:rPr>
              <w:t>单位</w:t>
            </w:r>
          </w:p>
        </w:tc>
        <w:tc>
          <w:tcPr>
            <w:tcW w:w="720" w:type="dxa"/>
            <w:tcBorders>
              <w:top w:val="single" w:color="auto" w:sz="4" w:space="0"/>
              <w:left w:val="single" w:color="auto" w:sz="4" w:space="0"/>
              <w:bottom w:val="single" w:color="auto" w:sz="4" w:space="0"/>
              <w:right w:val="single" w:color="auto" w:sz="4" w:space="0"/>
            </w:tcBorders>
            <w:vAlign w:val="center"/>
          </w:tcPr>
          <w:p w14:paraId="3C0ED891">
            <w:pPr>
              <w:widowControl/>
              <w:spacing w:line="320" w:lineRule="exact"/>
              <w:jc w:val="center"/>
              <w:rPr>
                <w:rFonts w:hint="eastAsia" w:ascii="宋体" w:hAnsi="宋体" w:cs="宋体"/>
                <w:color w:val="000000"/>
                <w:kern w:val="0"/>
              </w:rPr>
            </w:pPr>
            <w:r>
              <w:rPr>
                <w:rFonts w:hint="eastAsia" w:ascii="宋体" w:hAnsi="宋体" w:cs="宋体"/>
                <w:color w:val="000000"/>
                <w:kern w:val="0"/>
              </w:rPr>
              <w:t>数量</w:t>
            </w:r>
          </w:p>
        </w:tc>
        <w:tc>
          <w:tcPr>
            <w:tcW w:w="1080" w:type="dxa"/>
            <w:tcBorders>
              <w:top w:val="single" w:color="auto" w:sz="4" w:space="0"/>
              <w:left w:val="single" w:color="auto" w:sz="4" w:space="0"/>
              <w:bottom w:val="single" w:color="auto" w:sz="4" w:space="0"/>
              <w:right w:val="single" w:color="auto" w:sz="4" w:space="0"/>
            </w:tcBorders>
            <w:vAlign w:val="center"/>
          </w:tcPr>
          <w:p w14:paraId="209709F8">
            <w:pPr>
              <w:widowControl/>
              <w:spacing w:line="320" w:lineRule="exact"/>
              <w:ind w:firstLine="105" w:firstLineChars="50"/>
              <w:jc w:val="center"/>
              <w:rPr>
                <w:rFonts w:hint="eastAsia" w:ascii="宋体" w:hAnsi="宋体" w:cs="宋体"/>
                <w:color w:val="000000"/>
                <w:kern w:val="0"/>
              </w:rPr>
            </w:pPr>
            <w:r>
              <w:rPr>
                <w:rFonts w:hint="eastAsia" w:ascii="宋体" w:hAnsi="宋体" w:cs="宋体"/>
                <w:color w:val="000000"/>
                <w:kern w:val="0"/>
              </w:rPr>
              <w:t>单价</w:t>
            </w:r>
          </w:p>
          <w:p w14:paraId="5D663A05">
            <w:pPr>
              <w:widowControl/>
              <w:spacing w:line="320" w:lineRule="exact"/>
              <w:jc w:val="center"/>
              <w:rPr>
                <w:rFonts w:hint="eastAsia" w:ascii="宋体" w:hAnsi="宋体" w:cs="宋体"/>
                <w:color w:val="000000"/>
                <w:kern w:val="0"/>
              </w:rPr>
            </w:pPr>
            <w:r>
              <w:rPr>
                <w:rFonts w:hint="eastAsia" w:ascii="宋体" w:hAnsi="宋体" w:cs="宋体"/>
                <w:color w:val="000000"/>
                <w:kern w:val="0"/>
              </w:rPr>
              <w:t>（万元）</w:t>
            </w:r>
          </w:p>
        </w:tc>
        <w:tc>
          <w:tcPr>
            <w:tcW w:w="1080" w:type="dxa"/>
            <w:tcBorders>
              <w:top w:val="single" w:color="auto" w:sz="4" w:space="0"/>
              <w:left w:val="single" w:color="auto" w:sz="4" w:space="0"/>
              <w:bottom w:val="single" w:color="auto" w:sz="4" w:space="0"/>
              <w:right w:val="single" w:color="auto" w:sz="4" w:space="0"/>
            </w:tcBorders>
            <w:vAlign w:val="center"/>
          </w:tcPr>
          <w:p w14:paraId="35CCC43C">
            <w:pPr>
              <w:widowControl/>
              <w:spacing w:line="320" w:lineRule="exact"/>
              <w:jc w:val="center"/>
              <w:rPr>
                <w:rFonts w:hint="eastAsia" w:ascii="宋体" w:hAnsi="宋体" w:cs="宋体"/>
                <w:color w:val="000000"/>
                <w:kern w:val="0"/>
              </w:rPr>
            </w:pPr>
            <w:r>
              <w:rPr>
                <w:rFonts w:hint="eastAsia" w:ascii="宋体" w:hAnsi="宋体" w:cs="宋体"/>
                <w:color w:val="000000"/>
                <w:kern w:val="0"/>
              </w:rPr>
              <w:t>总金额</w:t>
            </w:r>
          </w:p>
          <w:p w14:paraId="0B90F34A">
            <w:pPr>
              <w:widowControl/>
              <w:spacing w:line="320" w:lineRule="exact"/>
              <w:jc w:val="center"/>
              <w:rPr>
                <w:rFonts w:hint="eastAsia" w:ascii="宋体" w:hAnsi="宋体" w:cs="宋体"/>
                <w:color w:val="000000"/>
                <w:kern w:val="0"/>
              </w:rPr>
            </w:pPr>
            <w:r>
              <w:rPr>
                <w:rFonts w:hint="eastAsia" w:ascii="宋体" w:hAnsi="宋体" w:cs="宋体"/>
                <w:color w:val="000000"/>
                <w:kern w:val="0"/>
              </w:rPr>
              <w:t>（万元）</w:t>
            </w:r>
          </w:p>
        </w:tc>
        <w:tc>
          <w:tcPr>
            <w:tcW w:w="723" w:type="dxa"/>
            <w:tcBorders>
              <w:top w:val="single" w:color="auto" w:sz="4" w:space="0"/>
              <w:left w:val="single" w:color="auto" w:sz="4" w:space="0"/>
              <w:bottom w:val="single" w:color="auto" w:sz="4" w:space="0"/>
              <w:right w:val="single" w:color="auto" w:sz="4" w:space="0"/>
            </w:tcBorders>
            <w:vAlign w:val="center"/>
          </w:tcPr>
          <w:p w14:paraId="52D207EB">
            <w:pPr>
              <w:widowControl/>
              <w:spacing w:line="320" w:lineRule="exact"/>
              <w:jc w:val="center"/>
              <w:rPr>
                <w:rFonts w:hint="eastAsia" w:ascii="宋体" w:hAnsi="宋体" w:cs="宋体"/>
                <w:color w:val="000000"/>
                <w:kern w:val="0"/>
              </w:rPr>
            </w:pPr>
            <w:r>
              <w:rPr>
                <w:rFonts w:hint="eastAsia" w:ascii="宋体" w:hAnsi="宋体" w:cs="宋体"/>
                <w:color w:val="000000"/>
                <w:kern w:val="0"/>
              </w:rPr>
              <w:t>备注</w:t>
            </w:r>
          </w:p>
        </w:tc>
      </w:tr>
      <w:tr w14:paraId="085BB21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4" w:hRule="atLeast"/>
        </w:trPr>
        <w:tc>
          <w:tcPr>
            <w:tcW w:w="467" w:type="dxa"/>
            <w:tcBorders>
              <w:top w:val="single" w:color="auto" w:sz="4" w:space="0"/>
              <w:left w:val="single" w:color="auto" w:sz="4" w:space="0"/>
              <w:bottom w:val="single" w:color="auto" w:sz="4" w:space="0"/>
              <w:right w:val="single" w:color="auto" w:sz="4" w:space="0"/>
            </w:tcBorders>
            <w:vAlign w:val="center"/>
          </w:tcPr>
          <w:p w14:paraId="6C90FBE2">
            <w:pPr>
              <w:jc w:val="center"/>
              <w:rPr>
                <w:rFonts w:hint="eastAsia" w:ascii="宋体" w:hAnsi="宋体"/>
                <w:b/>
                <w:color w:val="000000"/>
              </w:rPr>
            </w:pPr>
          </w:p>
        </w:tc>
        <w:tc>
          <w:tcPr>
            <w:tcW w:w="1079" w:type="dxa"/>
            <w:tcBorders>
              <w:top w:val="single" w:color="auto" w:sz="4" w:space="0"/>
              <w:left w:val="single" w:color="auto" w:sz="4" w:space="0"/>
              <w:bottom w:val="single" w:color="auto" w:sz="4" w:space="0"/>
              <w:right w:val="single" w:color="auto" w:sz="4" w:space="0"/>
            </w:tcBorders>
            <w:vAlign w:val="center"/>
          </w:tcPr>
          <w:p w14:paraId="111BF8DA">
            <w:pPr>
              <w:jc w:val="center"/>
              <w:rPr>
                <w:rFonts w:hint="eastAsia" w:ascii="宋体" w:hAnsi="宋体"/>
                <w:b/>
                <w:color w:val="000000"/>
              </w:rPr>
            </w:pPr>
          </w:p>
        </w:tc>
        <w:tc>
          <w:tcPr>
            <w:tcW w:w="1439" w:type="dxa"/>
            <w:tcBorders>
              <w:top w:val="single" w:color="auto" w:sz="4" w:space="0"/>
              <w:left w:val="single" w:color="auto" w:sz="4" w:space="0"/>
              <w:bottom w:val="single" w:color="auto" w:sz="4" w:space="0"/>
              <w:right w:val="single" w:color="auto" w:sz="4" w:space="0"/>
            </w:tcBorders>
            <w:vAlign w:val="center"/>
          </w:tcPr>
          <w:p w14:paraId="79267E76">
            <w:pPr>
              <w:ind w:firstLine="422" w:firstLineChars="200"/>
              <w:jc w:val="center"/>
              <w:rPr>
                <w:rFonts w:hint="eastAsia" w:ascii="宋体" w:hAnsi="宋体"/>
                <w:b/>
                <w:color w:val="000000"/>
              </w:rPr>
            </w:pPr>
          </w:p>
        </w:tc>
        <w:tc>
          <w:tcPr>
            <w:tcW w:w="900" w:type="dxa"/>
            <w:tcBorders>
              <w:top w:val="single" w:color="auto" w:sz="4" w:space="0"/>
              <w:left w:val="single" w:color="auto" w:sz="4" w:space="0"/>
              <w:bottom w:val="single" w:color="auto" w:sz="4" w:space="0"/>
              <w:right w:val="single" w:color="auto" w:sz="4" w:space="0"/>
            </w:tcBorders>
            <w:vAlign w:val="center"/>
          </w:tcPr>
          <w:p w14:paraId="54CE68B5">
            <w:pPr>
              <w:widowControl/>
              <w:spacing w:line="320" w:lineRule="exact"/>
              <w:ind w:firstLine="422" w:firstLineChars="200"/>
              <w:jc w:val="center"/>
              <w:rPr>
                <w:rFonts w:hint="eastAsia" w:ascii="宋体" w:hAnsi="宋体" w:cs="宋体"/>
                <w:b/>
                <w:color w:val="000000"/>
                <w:kern w:val="0"/>
              </w:rPr>
            </w:pPr>
          </w:p>
        </w:tc>
        <w:tc>
          <w:tcPr>
            <w:tcW w:w="900" w:type="dxa"/>
            <w:tcBorders>
              <w:top w:val="single" w:color="auto" w:sz="4" w:space="0"/>
              <w:left w:val="single" w:color="auto" w:sz="4" w:space="0"/>
              <w:bottom w:val="single" w:color="auto" w:sz="4" w:space="0"/>
              <w:right w:val="single" w:color="auto" w:sz="4" w:space="0"/>
            </w:tcBorders>
            <w:vAlign w:val="center"/>
          </w:tcPr>
          <w:p w14:paraId="0D93BAB4">
            <w:pPr>
              <w:widowControl/>
              <w:spacing w:line="320" w:lineRule="exact"/>
              <w:ind w:firstLine="422" w:firstLineChars="200"/>
              <w:jc w:val="center"/>
              <w:rPr>
                <w:rFonts w:hint="eastAsia" w:ascii="宋体" w:hAnsi="宋体" w:cs="宋体"/>
                <w:b/>
                <w:color w:val="000000"/>
                <w:kern w:val="0"/>
              </w:rPr>
            </w:pPr>
          </w:p>
        </w:tc>
        <w:tc>
          <w:tcPr>
            <w:tcW w:w="720" w:type="dxa"/>
            <w:tcBorders>
              <w:top w:val="single" w:color="auto" w:sz="4" w:space="0"/>
              <w:left w:val="single" w:color="auto" w:sz="4" w:space="0"/>
              <w:bottom w:val="single" w:color="auto" w:sz="4" w:space="0"/>
              <w:right w:val="single" w:color="auto" w:sz="4" w:space="0"/>
            </w:tcBorders>
            <w:vAlign w:val="center"/>
          </w:tcPr>
          <w:p w14:paraId="776E41C9">
            <w:pPr>
              <w:ind w:firstLine="422" w:firstLineChars="200"/>
              <w:jc w:val="center"/>
              <w:rPr>
                <w:rFonts w:hint="eastAsia" w:ascii="宋体" w:hAnsi="宋体"/>
                <w:b/>
                <w:color w:val="000000"/>
              </w:rPr>
            </w:pPr>
          </w:p>
        </w:tc>
        <w:tc>
          <w:tcPr>
            <w:tcW w:w="720" w:type="dxa"/>
            <w:tcBorders>
              <w:top w:val="single" w:color="auto" w:sz="4" w:space="0"/>
              <w:left w:val="single" w:color="auto" w:sz="4" w:space="0"/>
              <w:bottom w:val="single" w:color="auto" w:sz="4" w:space="0"/>
              <w:right w:val="single" w:color="auto" w:sz="4" w:space="0"/>
            </w:tcBorders>
            <w:vAlign w:val="center"/>
          </w:tcPr>
          <w:p w14:paraId="5BDEB746">
            <w:pPr>
              <w:ind w:firstLine="422" w:firstLineChars="200"/>
              <w:jc w:val="center"/>
              <w:rPr>
                <w:rFonts w:hint="eastAsia" w:ascii="宋体" w:hAnsi="宋体"/>
                <w:b/>
                <w:color w:val="000000"/>
              </w:rPr>
            </w:pPr>
          </w:p>
        </w:tc>
        <w:tc>
          <w:tcPr>
            <w:tcW w:w="1080" w:type="dxa"/>
            <w:tcBorders>
              <w:top w:val="single" w:color="auto" w:sz="4" w:space="0"/>
              <w:left w:val="single" w:color="auto" w:sz="4" w:space="0"/>
              <w:bottom w:val="single" w:color="auto" w:sz="4" w:space="0"/>
              <w:right w:val="single" w:color="auto" w:sz="4" w:space="0"/>
            </w:tcBorders>
            <w:vAlign w:val="center"/>
          </w:tcPr>
          <w:p w14:paraId="0A29F0FE">
            <w:pPr>
              <w:ind w:firstLine="422" w:firstLineChars="200"/>
              <w:jc w:val="center"/>
              <w:rPr>
                <w:rFonts w:hint="eastAsia" w:ascii="宋体" w:hAnsi="宋体"/>
                <w:b/>
                <w:color w:val="000000"/>
              </w:rPr>
            </w:pPr>
          </w:p>
        </w:tc>
        <w:tc>
          <w:tcPr>
            <w:tcW w:w="1080" w:type="dxa"/>
            <w:tcBorders>
              <w:top w:val="single" w:color="auto" w:sz="4" w:space="0"/>
              <w:left w:val="single" w:color="auto" w:sz="4" w:space="0"/>
              <w:bottom w:val="single" w:color="auto" w:sz="4" w:space="0"/>
              <w:right w:val="single" w:color="auto" w:sz="4" w:space="0"/>
            </w:tcBorders>
            <w:vAlign w:val="center"/>
          </w:tcPr>
          <w:p w14:paraId="060EFDB8">
            <w:pPr>
              <w:widowControl/>
              <w:ind w:firstLine="422" w:firstLineChars="200"/>
              <w:jc w:val="center"/>
              <w:rPr>
                <w:rFonts w:hint="eastAsia" w:ascii="宋体" w:hAnsi="宋体" w:cs="宋体"/>
                <w:b/>
                <w:color w:val="000000"/>
                <w:kern w:val="0"/>
              </w:rPr>
            </w:pPr>
          </w:p>
        </w:tc>
        <w:tc>
          <w:tcPr>
            <w:tcW w:w="723" w:type="dxa"/>
            <w:tcBorders>
              <w:top w:val="single" w:color="auto" w:sz="4" w:space="0"/>
              <w:left w:val="single" w:color="auto" w:sz="4" w:space="0"/>
              <w:bottom w:val="single" w:color="auto" w:sz="4" w:space="0"/>
              <w:right w:val="single" w:color="auto" w:sz="4" w:space="0"/>
            </w:tcBorders>
            <w:vAlign w:val="center"/>
          </w:tcPr>
          <w:p w14:paraId="08282D3A">
            <w:pPr>
              <w:widowControl/>
              <w:ind w:firstLine="422" w:firstLineChars="200"/>
              <w:jc w:val="center"/>
              <w:rPr>
                <w:rFonts w:hint="eastAsia" w:ascii="宋体" w:hAnsi="宋体" w:cs="宋体"/>
                <w:b/>
                <w:color w:val="000000"/>
                <w:kern w:val="0"/>
              </w:rPr>
            </w:pPr>
          </w:p>
        </w:tc>
      </w:tr>
      <w:tr w14:paraId="38A8D48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4" w:hRule="atLeast"/>
        </w:trPr>
        <w:tc>
          <w:tcPr>
            <w:tcW w:w="467" w:type="dxa"/>
            <w:tcBorders>
              <w:top w:val="single" w:color="auto" w:sz="4" w:space="0"/>
              <w:left w:val="single" w:color="auto" w:sz="4" w:space="0"/>
              <w:bottom w:val="single" w:color="auto" w:sz="4" w:space="0"/>
              <w:right w:val="single" w:color="auto" w:sz="4" w:space="0"/>
            </w:tcBorders>
            <w:vAlign w:val="center"/>
          </w:tcPr>
          <w:p w14:paraId="40CBA951">
            <w:pPr>
              <w:jc w:val="center"/>
              <w:rPr>
                <w:rFonts w:hint="eastAsia" w:ascii="宋体" w:hAnsi="宋体"/>
                <w:b/>
                <w:color w:val="000000"/>
              </w:rPr>
            </w:pPr>
          </w:p>
        </w:tc>
        <w:tc>
          <w:tcPr>
            <w:tcW w:w="1079" w:type="dxa"/>
            <w:tcBorders>
              <w:top w:val="single" w:color="auto" w:sz="4" w:space="0"/>
              <w:left w:val="single" w:color="auto" w:sz="4" w:space="0"/>
              <w:bottom w:val="single" w:color="auto" w:sz="4" w:space="0"/>
              <w:right w:val="single" w:color="auto" w:sz="4" w:space="0"/>
            </w:tcBorders>
            <w:vAlign w:val="center"/>
          </w:tcPr>
          <w:p w14:paraId="602B7286">
            <w:pPr>
              <w:jc w:val="center"/>
              <w:rPr>
                <w:rFonts w:hint="eastAsia" w:ascii="宋体" w:hAnsi="宋体"/>
                <w:b/>
                <w:color w:val="000000"/>
              </w:rPr>
            </w:pPr>
          </w:p>
        </w:tc>
        <w:tc>
          <w:tcPr>
            <w:tcW w:w="1439" w:type="dxa"/>
            <w:tcBorders>
              <w:top w:val="single" w:color="auto" w:sz="4" w:space="0"/>
              <w:left w:val="single" w:color="auto" w:sz="4" w:space="0"/>
              <w:bottom w:val="single" w:color="auto" w:sz="4" w:space="0"/>
              <w:right w:val="single" w:color="auto" w:sz="4" w:space="0"/>
            </w:tcBorders>
            <w:vAlign w:val="center"/>
          </w:tcPr>
          <w:p w14:paraId="7DD5604F">
            <w:pPr>
              <w:ind w:firstLine="422" w:firstLineChars="200"/>
              <w:jc w:val="center"/>
              <w:rPr>
                <w:rFonts w:hint="eastAsia" w:ascii="宋体" w:hAnsi="宋体"/>
                <w:b/>
                <w:color w:val="000000"/>
              </w:rPr>
            </w:pPr>
          </w:p>
        </w:tc>
        <w:tc>
          <w:tcPr>
            <w:tcW w:w="900" w:type="dxa"/>
            <w:tcBorders>
              <w:top w:val="single" w:color="auto" w:sz="4" w:space="0"/>
              <w:left w:val="single" w:color="auto" w:sz="4" w:space="0"/>
              <w:bottom w:val="single" w:color="auto" w:sz="4" w:space="0"/>
              <w:right w:val="single" w:color="auto" w:sz="4" w:space="0"/>
            </w:tcBorders>
            <w:vAlign w:val="center"/>
          </w:tcPr>
          <w:p w14:paraId="7DDCAA89">
            <w:pPr>
              <w:widowControl/>
              <w:spacing w:line="320" w:lineRule="exact"/>
              <w:ind w:firstLine="420" w:firstLineChars="200"/>
              <w:jc w:val="center"/>
              <w:rPr>
                <w:rFonts w:hint="eastAsia" w:ascii="宋体" w:hAnsi="宋体" w:cs="宋体"/>
                <w:color w:val="000000"/>
                <w:kern w:val="0"/>
              </w:rPr>
            </w:pPr>
          </w:p>
        </w:tc>
        <w:tc>
          <w:tcPr>
            <w:tcW w:w="900" w:type="dxa"/>
            <w:tcBorders>
              <w:top w:val="single" w:color="auto" w:sz="4" w:space="0"/>
              <w:left w:val="single" w:color="auto" w:sz="4" w:space="0"/>
              <w:bottom w:val="single" w:color="auto" w:sz="4" w:space="0"/>
              <w:right w:val="single" w:color="auto" w:sz="4" w:space="0"/>
            </w:tcBorders>
            <w:vAlign w:val="center"/>
          </w:tcPr>
          <w:p w14:paraId="15874315">
            <w:pPr>
              <w:widowControl/>
              <w:spacing w:line="320" w:lineRule="exact"/>
              <w:ind w:firstLine="420" w:firstLineChars="200"/>
              <w:jc w:val="center"/>
              <w:rPr>
                <w:rFonts w:hint="eastAsia" w:ascii="宋体" w:hAnsi="宋体" w:cs="宋体"/>
                <w:color w:val="000000"/>
                <w:kern w:val="0"/>
              </w:rPr>
            </w:pPr>
          </w:p>
        </w:tc>
        <w:tc>
          <w:tcPr>
            <w:tcW w:w="720" w:type="dxa"/>
            <w:tcBorders>
              <w:top w:val="single" w:color="auto" w:sz="4" w:space="0"/>
              <w:left w:val="single" w:color="auto" w:sz="4" w:space="0"/>
              <w:bottom w:val="single" w:color="auto" w:sz="4" w:space="0"/>
              <w:right w:val="single" w:color="auto" w:sz="4" w:space="0"/>
            </w:tcBorders>
            <w:vAlign w:val="center"/>
          </w:tcPr>
          <w:p w14:paraId="0125331B">
            <w:pPr>
              <w:ind w:firstLine="422" w:firstLineChars="200"/>
              <w:jc w:val="center"/>
              <w:rPr>
                <w:rFonts w:hint="eastAsia" w:ascii="宋体" w:hAnsi="宋体"/>
                <w:b/>
                <w:color w:val="000000"/>
              </w:rPr>
            </w:pPr>
          </w:p>
        </w:tc>
        <w:tc>
          <w:tcPr>
            <w:tcW w:w="720" w:type="dxa"/>
            <w:tcBorders>
              <w:top w:val="single" w:color="auto" w:sz="4" w:space="0"/>
              <w:left w:val="single" w:color="auto" w:sz="4" w:space="0"/>
              <w:bottom w:val="single" w:color="auto" w:sz="4" w:space="0"/>
              <w:right w:val="single" w:color="auto" w:sz="4" w:space="0"/>
            </w:tcBorders>
            <w:vAlign w:val="center"/>
          </w:tcPr>
          <w:p w14:paraId="0B264850">
            <w:pPr>
              <w:ind w:firstLine="422" w:firstLineChars="200"/>
              <w:jc w:val="center"/>
              <w:rPr>
                <w:rFonts w:hint="eastAsia" w:ascii="宋体" w:hAnsi="宋体"/>
                <w:b/>
                <w:color w:val="000000"/>
              </w:rPr>
            </w:pPr>
          </w:p>
        </w:tc>
        <w:tc>
          <w:tcPr>
            <w:tcW w:w="1080" w:type="dxa"/>
            <w:tcBorders>
              <w:top w:val="single" w:color="auto" w:sz="4" w:space="0"/>
              <w:left w:val="single" w:color="auto" w:sz="4" w:space="0"/>
              <w:bottom w:val="single" w:color="auto" w:sz="4" w:space="0"/>
              <w:right w:val="single" w:color="auto" w:sz="4" w:space="0"/>
            </w:tcBorders>
            <w:vAlign w:val="center"/>
          </w:tcPr>
          <w:p w14:paraId="56B0CCB3">
            <w:pPr>
              <w:ind w:firstLine="422" w:firstLineChars="200"/>
              <w:jc w:val="center"/>
              <w:rPr>
                <w:rFonts w:hint="eastAsia" w:ascii="宋体" w:hAnsi="宋体"/>
                <w:b/>
                <w:color w:val="000000"/>
              </w:rPr>
            </w:pPr>
          </w:p>
        </w:tc>
        <w:tc>
          <w:tcPr>
            <w:tcW w:w="1080" w:type="dxa"/>
            <w:tcBorders>
              <w:top w:val="single" w:color="auto" w:sz="4" w:space="0"/>
              <w:left w:val="single" w:color="auto" w:sz="4" w:space="0"/>
              <w:bottom w:val="single" w:color="auto" w:sz="4" w:space="0"/>
              <w:right w:val="single" w:color="auto" w:sz="4" w:space="0"/>
            </w:tcBorders>
            <w:vAlign w:val="center"/>
          </w:tcPr>
          <w:p w14:paraId="57A9D7BD">
            <w:pPr>
              <w:widowControl/>
              <w:ind w:firstLine="422" w:firstLineChars="200"/>
              <w:jc w:val="center"/>
              <w:rPr>
                <w:rFonts w:hint="eastAsia" w:ascii="宋体" w:hAnsi="宋体" w:cs="宋体"/>
                <w:b/>
                <w:color w:val="000000"/>
                <w:kern w:val="0"/>
              </w:rPr>
            </w:pPr>
          </w:p>
        </w:tc>
        <w:tc>
          <w:tcPr>
            <w:tcW w:w="723" w:type="dxa"/>
            <w:tcBorders>
              <w:top w:val="single" w:color="auto" w:sz="4" w:space="0"/>
              <w:left w:val="single" w:color="auto" w:sz="4" w:space="0"/>
              <w:bottom w:val="single" w:color="auto" w:sz="4" w:space="0"/>
              <w:right w:val="single" w:color="auto" w:sz="4" w:space="0"/>
            </w:tcBorders>
            <w:vAlign w:val="center"/>
          </w:tcPr>
          <w:p w14:paraId="29C6549D">
            <w:pPr>
              <w:widowControl/>
              <w:ind w:firstLine="422" w:firstLineChars="200"/>
              <w:jc w:val="center"/>
              <w:rPr>
                <w:rFonts w:hint="eastAsia" w:ascii="宋体" w:hAnsi="宋体" w:cs="宋体"/>
                <w:b/>
                <w:color w:val="000000"/>
                <w:kern w:val="0"/>
              </w:rPr>
            </w:pPr>
          </w:p>
        </w:tc>
      </w:tr>
      <w:tr w14:paraId="7D16E4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8" w:hRule="atLeast"/>
        </w:trPr>
        <w:tc>
          <w:tcPr>
            <w:tcW w:w="467" w:type="dxa"/>
            <w:tcBorders>
              <w:top w:val="single" w:color="auto" w:sz="4" w:space="0"/>
              <w:left w:val="single" w:color="auto" w:sz="4" w:space="0"/>
              <w:bottom w:val="single" w:color="auto" w:sz="4" w:space="0"/>
              <w:right w:val="single" w:color="auto" w:sz="4" w:space="0"/>
            </w:tcBorders>
            <w:vAlign w:val="center"/>
          </w:tcPr>
          <w:p w14:paraId="3FEE933D">
            <w:pPr>
              <w:jc w:val="center"/>
              <w:rPr>
                <w:rFonts w:hint="eastAsia" w:ascii="宋体" w:hAnsi="宋体"/>
                <w:b/>
                <w:color w:val="000000"/>
              </w:rPr>
            </w:pPr>
          </w:p>
        </w:tc>
        <w:tc>
          <w:tcPr>
            <w:tcW w:w="1079" w:type="dxa"/>
            <w:tcBorders>
              <w:top w:val="single" w:color="auto" w:sz="4" w:space="0"/>
              <w:left w:val="single" w:color="auto" w:sz="4" w:space="0"/>
              <w:bottom w:val="single" w:color="auto" w:sz="4" w:space="0"/>
              <w:right w:val="single" w:color="auto" w:sz="4" w:space="0"/>
            </w:tcBorders>
            <w:vAlign w:val="center"/>
          </w:tcPr>
          <w:p w14:paraId="3E937496">
            <w:pPr>
              <w:jc w:val="center"/>
              <w:rPr>
                <w:rFonts w:hint="eastAsia" w:ascii="宋体" w:hAnsi="宋体"/>
                <w:b/>
                <w:color w:val="000000"/>
              </w:rPr>
            </w:pPr>
          </w:p>
        </w:tc>
        <w:tc>
          <w:tcPr>
            <w:tcW w:w="1439" w:type="dxa"/>
            <w:tcBorders>
              <w:top w:val="single" w:color="auto" w:sz="4" w:space="0"/>
              <w:left w:val="single" w:color="auto" w:sz="4" w:space="0"/>
              <w:bottom w:val="single" w:color="auto" w:sz="4" w:space="0"/>
              <w:right w:val="single" w:color="auto" w:sz="4" w:space="0"/>
            </w:tcBorders>
            <w:vAlign w:val="center"/>
          </w:tcPr>
          <w:p w14:paraId="39EC67C6">
            <w:pPr>
              <w:ind w:firstLine="422" w:firstLineChars="200"/>
              <w:jc w:val="center"/>
              <w:rPr>
                <w:rFonts w:hint="eastAsia" w:ascii="宋体" w:hAnsi="宋体"/>
                <w:b/>
                <w:color w:val="000000"/>
              </w:rPr>
            </w:pPr>
          </w:p>
        </w:tc>
        <w:tc>
          <w:tcPr>
            <w:tcW w:w="900" w:type="dxa"/>
            <w:tcBorders>
              <w:top w:val="single" w:color="auto" w:sz="4" w:space="0"/>
              <w:left w:val="single" w:color="auto" w:sz="4" w:space="0"/>
              <w:bottom w:val="single" w:color="auto" w:sz="4" w:space="0"/>
              <w:right w:val="single" w:color="auto" w:sz="4" w:space="0"/>
            </w:tcBorders>
            <w:vAlign w:val="center"/>
          </w:tcPr>
          <w:p w14:paraId="3D55E322">
            <w:pPr>
              <w:widowControl/>
              <w:spacing w:line="320" w:lineRule="exact"/>
              <w:ind w:firstLine="420" w:firstLineChars="200"/>
              <w:jc w:val="center"/>
              <w:rPr>
                <w:rFonts w:hint="eastAsia" w:ascii="宋体" w:hAnsi="宋体" w:cs="宋体"/>
                <w:color w:val="000000"/>
                <w:kern w:val="0"/>
              </w:rPr>
            </w:pPr>
          </w:p>
        </w:tc>
        <w:tc>
          <w:tcPr>
            <w:tcW w:w="900" w:type="dxa"/>
            <w:tcBorders>
              <w:top w:val="single" w:color="auto" w:sz="4" w:space="0"/>
              <w:left w:val="single" w:color="auto" w:sz="4" w:space="0"/>
              <w:bottom w:val="single" w:color="auto" w:sz="4" w:space="0"/>
              <w:right w:val="single" w:color="auto" w:sz="4" w:space="0"/>
            </w:tcBorders>
            <w:vAlign w:val="center"/>
          </w:tcPr>
          <w:p w14:paraId="22F75EC7">
            <w:pPr>
              <w:widowControl/>
              <w:spacing w:line="320" w:lineRule="exact"/>
              <w:ind w:firstLine="420" w:firstLineChars="200"/>
              <w:jc w:val="center"/>
              <w:rPr>
                <w:rFonts w:hint="eastAsia" w:ascii="宋体" w:hAnsi="宋体" w:cs="宋体"/>
                <w:color w:val="000000"/>
                <w:kern w:val="0"/>
              </w:rPr>
            </w:pPr>
          </w:p>
        </w:tc>
        <w:tc>
          <w:tcPr>
            <w:tcW w:w="720" w:type="dxa"/>
            <w:tcBorders>
              <w:top w:val="single" w:color="auto" w:sz="4" w:space="0"/>
              <w:left w:val="single" w:color="auto" w:sz="4" w:space="0"/>
              <w:bottom w:val="single" w:color="auto" w:sz="4" w:space="0"/>
              <w:right w:val="single" w:color="auto" w:sz="4" w:space="0"/>
            </w:tcBorders>
            <w:vAlign w:val="center"/>
          </w:tcPr>
          <w:p w14:paraId="06FBC074">
            <w:pPr>
              <w:ind w:firstLine="422" w:firstLineChars="200"/>
              <w:jc w:val="center"/>
              <w:rPr>
                <w:rFonts w:hint="eastAsia" w:ascii="宋体" w:hAnsi="宋体"/>
                <w:b/>
                <w:color w:val="000000"/>
              </w:rPr>
            </w:pPr>
          </w:p>
        </w:tc>
        <w:tc>
          <w:tcPr>
            <w:tcW w:w="720" w:type="dxa"/>
            <w:tcBorders>
              <w:top w:val="single" w:color="auto" w:sz="4" w:space="0"/>
              <w:left w:val="single" w:color="auto" w:sz="4" w:space="0"/>
              <w:bottom w:val="single" w:color="auto" w:sz="4" w:space="0"/>
              <w:right w:val="single" w:color="auto" w:sz="4" w:space="0"/>
            </w:tcBorders>
            <w:vAlign w:val="center"/>
          </w:tcPr>
          <w:p w14:paraId="0312D28C">
            <w:pPr>
              <w:ind w:firstLine="422" w:firstLineChars="200"/>
              <w:jc w:val="center"/>
              <w:rPr>
                <w:rFonts w:hint="eastAsia" w:ascii="宋体" w:hAnsi="宋体"/>
                <w:b/>
                <w:color w:val="000000"/>
              </w:rPr>
            </w:pPr>
          </w:p>
        </w:tc>
        <w:tc>
          <w:tcPr>
            <w:tcW w:w="1080" w:type="dxa"/>
            <w:tcBorders>
              <w:top w:val="single" w:color="auto" w:sz="4" w:space="0"/>
              <w:left w:val="single" w:color="auto" w:sz="4" w:space="0"/>
              <w:bottom w:val="single" w:color="auto" w:sz="4" w:space="0"/>
              <w:right w:val="single" w:color="auto" w:sz="4" w:space="0"/>
            </w:tcBorders>
            <w:vAlign w:val="center"/>
          </w:tcPr>
          <w:p w14:paraId="04240560">
            <w:pPr>
              <w:ind w:firstLine="422" w:firstLineChars="200"/>
              <w:jc w:val="center"/>
              <w:rPr>
                <w:rFonts w:hint="eastAsia" w:ascii="宋体" w:hAnsi="宋体"/>
                <w:b/>
                <w:color w:val="000000"/>
              </w:rPr>
            </w:pPr>
          </w:p>
        </w:tc>
        <w:tc>
          <w:tcPr>
            <w:tcW w:w="1080" w:type="dxa"/>
            <w:tcBorders>
              <w:top w:val="single" w:color="auto" w:sz="4" w:space="0"/>
              <w:left w:val="single" w:color="auto" w:sz="4" w:space="0"/>
              <w:bottom w:val="single" w:color="auto" w:sz="4" w:space="0"/>
              <w:right w:val="single" w:color="auto" w:sz="4" w:space="0"/>
            </w:tcBorders>
            <w:vAlign w:val="center"/>
          </w:tcPr>
          <w:p w14:paraId="74EEF669">
            <w:pPr>
              <w:widowControl/>
              <w:ind w:firstLine="422" w:firstLineChars="200"/>
              <w:jc w:val="center"/>
              <w:rPr>
                <w:rFonts w:hint="eastAsia" w:ascii="宋体" w:hAnsi="宋体" w:cs="宋体"/>
                <w:b/>
                <w:color w:val="000000"/>
                <w:kern w:val="0"/>
              </w:rPr>
            </w:pPr>
          </w:p>
        </w:tc>
        <w:tc>
          <w:tcPr>
            <w:tcW w:w="723" w:type="dxa"/>
            <w:tcBorders>
              <w:top w:val="single" w:color="auto" w:sz="4" w:space="0"/>
              <w:left w:val="single" w:color="auto" w:sz="4" w:space="0"/>
              <w:bottom w:val="single" w:color="auto" w:sz="4" w:space="0"/>
              <w:right w:val="single" w:color="auto" w:sz="4" w:space="0"/>
            </w:tcBorders>
            <w:vAlign w:val="center"/>
          </w:tcPr>
          <w:p w14:paraId="0E70165F">
            <w:pPr>
              <w:widowControl/>
              <w:ind w:firstLine="422" w:firstLineChars="200"/>
              <w:jc w:val="center"/>
              <w:rPr>
                <w:rFonts w:hint="eastAsia" w:ascii="宋体" w:hAnsi="宋体" w:cs="宋体"/>
                <w:b/>
                <w:color w:val="000000"/>
                <w:kern w:val="0"/>
              </w:rPr>
            </w:pPr>
          </w:p>
        </w:tc>
      </w:tr>
      <w:tr w14:paraId="78B7909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4" w:hRule="atLeast"/>
        </w:trPr>
        <w:tc>
          <w:tcPr>
            <w:tcW w:w="467" w:type="dxa"/>
            <w:tcBorders>
              <w:top w:val="single" w:color="auto" w:sz="4" w:space="0"/>
              <w:left w:val="single" w:color="auto" w:sz="4" w:space="0"/>
              <w:bottom w:val="single" w:color="auto" w:sz="4" w:space="0"/>
              <w:right w:val="single" w:color="auto" w:sz="4" w:space="0"/>
            </w:tcBorders>
            <w:vAlign w:val="center"/>
          </w:tcPr>
          <w:p w14:paraId="725BE419">
            <w:pPr>
              <w:jc w:val="center"/>
              <w:rPr>
                <w:rFonts w:hint="eastAsia" w:ascii="宋体" w:hAnsi="宋体"/>
                <w:b/>
                <w:color w:val="000000"/>
              </w:rPr>
            </w:pPr>
          </w:p>
        </w:tc>
        <w:tc>
          <w:tcPr>
            <w:tcW w:w="1079" w:type="dxa"/>
            <w:tcBorders>
              <w:top w:val="single" w:color="auto" w:sz="4" w:space="0"/>
              <w:left w:val="single" w:color="auto" w:sz="4" w:space="0"/>
              <w:bottom w:val="single" w:color="auto" w:sz="4" w:space="0"/>
              <w:right w:val="single" w:color="auto" w:sz="4" w:space="0"/>
            </w:tcBorders>
            <w:vAlign w:val="center"/>
          </w:tcPr>
          <w:p w14:paraId="4A4A8ECA">
            <w:pPr>
              <w:jc w:val="center"/>
              <w:rPr>
                <w:rFonts w:hint="eastAsia" w:ascii="宋体" w:hAnsi="宋体"/>
                <w:b/>
                <w:color w:val="000000"/>
              </w:rPr>
            </w:pPr>
          </w:p>
        </w:tc>
        <w:tc>
          <w:tcPr>
            <w:tcW w:w="1439" w:type="dxa"/>
            <w:tcBorders>
              <w:top w:val="single" w:color="auto" w:sz="4" w:space="0"/>
              <w:left w:val="single" w:color="auto" w:sz="4" w:space="0"/>
              <w:bottom w:val="single" w:color="auto" w:sz="4" w:space="0"/>
              <w:right w:val="single" w:color="auto" w:sz="4" w:space="0"/>
            </w:tcBorders>
            <w:vAlign w:val="center"/>
          </w:tcPr>
          <w:p w14:paraId="2954B107">
            <w:pPr>
              <w:ind w:firstLine="422" w:firstLineChars="200"/>
              <w:jc w:val="center"/>
              <w:rPr>
                <w:rFonts w:hint="eastAsia" w:ascii="宋体" w:hAnsi="宋体"/>
                <w:b/>
                <w:color w:val="000000"/>
              </w:rPr>
            </w:pPr>
          </w:p>
        </w:tc>
        <w:tc>
          <w:tcPr>
            <w:tcW w:w="900" w:type="dxa"/>
            <w:tcBorders>
              <w:top w:val="single" w:color="auto" w:sz="4" w:space="0"/>
              <w:left w:val="single" w:color="auto" w:sz="4" w:space="0"/>
              <w:right w:val="single" w:color="auto" w:sz="4" w:space="0"/>
            </w:tcBorders>
            <w:vAlign w:val="center"/>
          </w:tcPr>
          <w:p w14:paraId="3118249F">
            <w:pPr>
              <w:widowControl/>
              <w:spacing w:line="320" w:lineRule="exact"/>
              <w:ind w:firstLine="420" w:firstLineChars="200"/>
              <w:jc w:val="center"/>
              <w:rPr>
                <w:rFonts w:hint="eastAsia" w:ascii="宋体" w:hAnsi="宋体" w:cs="宋体"/>
                <w:color w:val="000000"/>
                <w:kern w:val="0"/>
              </w:rPr>
            </w:pPr>
          </w:p>
        </w:tc>
        <w:tc>
          <w:tcPr>
            <w:tcW w:w="900" w:type="dxa"/>
            <w:tcBorders>
              <w:top w:val="single" w:color="auto" w:sz="4" w:space="0"/>
              <w:left w:val="single" w:color="auto" w:sz="4" w:space="0"/>
              <w:right w:val="single" w:color="auto" w:sz="4" w:space="0"/>
            </w:tcBorders>
            <w:vAlign w:val="center"/>
          </w:tcPr>
          <w:p w14:paraId="0641C1C1">
            <w:pPr>
              <w:widowControl/>
              <w:spacing w:line="320" w:lineRule="exact"/>
              <w:ind w:firstLine="420" w:firstLineChars="200"/>
              <w:jc w:val="center"/>
              <w:rPr>
                <w:rFonts w:hint="eastAsia" w:ascii="宋体" w:hAnsi="宋体" w:cs="宋体"/>
                <w:color w:val="000000"/>
                <w:kern w:val="0"/>
              </w:rPr>
            </w:pPr>
          </w:p>
        </w:tc>
        <w:tc>
          <w:tcPr>
            <w:tcW w:w="720" w:type="dxa"/>
            <w:tcBorders>
              <w:top w:val="single" w:color="auto" w:sz="4" w:space="0"/>
              <w:left w:val="single" w:color="auto" w:sz="4" w:space="0"/>
              <w:bottom w:val="single" w:color="auto" w:sz="4" w:space="0"/>
              <w:right w:val="single" w:color="auto" w:sz="4" w:space="0"/>
            </w:tcBorders>
            <w:vAlign w:val="center"/>
          </w:tcPr>
          <w:p w14:paraId="23B2C25C">
            <w:pPr>
              <w:ind w:firstLine="422" w:firstLineChars="200"/>
              <w:jc w:val="center"/>
              <w:rPr>
                <w:rFonts w:hint="eastAsia" w:ascii="宋体" w:hAnsi="宋体"/>
                <w:b/>
                <w:color w:val="000000"/>
              </w:rPr>
            </w:pPr>
          </w:p>
        </w:tc>
        <w:tc>
          <w:tcPr>
            <w:tcW w:w="720" w:type="dxa"/>
            <w:tcBorders>
              <w:top w:val="single" w:color="auto" w:sz="4" w:space="0"/>
              <w:left w:val="single" w:color="auto" w:sz="4" w:space="0"/>
              <w:bottom w:val="single" w:color="auto" w:sz="4" w:space="0"/>
              <w:right w:val="single" w:color="auto" w:sz="4" w:space="0"/>
            </w:tcBorders>
            <w:vAlign w:val="center"/>
          </w:tcPr>
          <w:p w14:paraId="1BD71492">
            <w:pPr>
              <w:ind w:firstLine="422" w:firstLineChars="200"/>
              <w:jc w:val="center"/>
              <w:rPr>
                <w:rFonts w:hint="eastAsia" w:ascii="宋体" w:hAnsi="宋体"/>
                <w:b/>
                <w:color w:val="000000"/>
              </w:rPr>
            </w:pPr>
          </w:p>
        </w:tc>
        <w:tc>
          <w:tcPr>
            <w:tcW w:w="1080" w:type="dxa"/>
            <w:tcBorders>
              <w:top w:val="single" w:color="auto" w:sz="4" w:space="0"/>
              <w:left w:val="single" w:color="auto" w:sz="4" w:space="0"/>
              <w:bottom w:val="single" w:color="auto" w:sz="4" w:space="0"/>
              <w:right w:val="single" w:color="auto" w:sz="4" w:space="0"/>
            </w:tcBorders>
            <w:vAlign w:val="center"/>
          </w:tcPr>
          <w:p w14:paraId="253CF404">
            <w:pPr>
              <w:ind w:firstLine="422" w:firstLineChars="200"/>
              <w:jc w:val="center"/>
              <w:rPr>
                <w:rFonts w:hint="eastAsia" w:ascii="宋体" w:hAnsi="宋体"/>
                <w:b/>
                <w:color w:val="000000"/>
              </w:rPr>
            </w:pPr>
          </w:p>
        </w:tc>
        <w:tc>
          <w:tcPr>
            <w:tcW w:w="1080" w:type="dxa"/>
            <w:tcBorders>
              <w:top w:val="single" w:color="auto" w:sz="4" w:space="0"/>
              <w:left w:val="single" w:color="auto" w:sz="4" w:space="0"/>
              <w:bottom w:val="single" w:color="auto" w:sz="4" w:space="0"/>
              <w:right w:val="single" w:color="auto" w:sz="4" w:space="0"/>
            </w:tcBorders>
            <w:vAlign w:val="center"/>
          </w:tcPr>
          <w:p w14:paraId="2E6A022A">
            <w:pPr>
              <w:widowControl/>
              <w:ind w:firstLine="422" w:firstLineChars="200"/>
              <w:jc w:val="center"/>
              <w:rPr>
                <w:rFonts w:hint="eastAsia" w:ascii="宋体" w:hAnsi="宋体" w:cs="宋体"/>
                <w:b/>
                <w:color w:val="000000"/>
                <w:kern w:val="0"/>
              </w:rPr>
            </w:pPr>
          </w:p>
        </w:tc>
        <w:tc>
          <w:tcPr>
            <w:tcW w:w="723" w:type="dxa"/>
            <w:tcBorders>
              <w:top w:val="single" w:color="auto" w:sz="4" w:space="0"/>
              <w:left w:val="single" w:color="auto" w:sz="4" w:space="0"/>
              <w:bottom w:val="single" w:color="auto" w:sz="4" w:space="0"/>
              <w:right w:val="single" w:color="auto" w:sz="4" w:space="0"/>
            </w:tcBorders>
            <w:vAlign w:val="center"/>
          </w:tcPr>
          <w:p w14:paraId="33E1CE64">
            <w:pPr>
              <w:widowControl/>
              <w:jc w:val="center"/>
              <w:rPr>
                <w:rFonts w:hint="eastAsia" w:ascii="宋体" w:hAnsi="宋体" w:cs="宋体"/>
                <w:b/>
                <w:color w:val="000000"/>
                <w:kern w:val="0"/>
              </w:rPr>
            </w:pPr>
          </w:p>
        </w:tc>
      </w:tr>
      <w:tr w14:paraId="5E08A59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31" w:hRule="atLeast"/>
        </w:trPr>
        <w:tc>
          <w:tcPr>
            <w:tcW w:w="4785" w:type="dxa"/>
            <w:gridSpan w:val="5"/>
            <w:tcBorders>
              <w:top w:val="single" w:color="auto" w:sz="4" w:space="0"/>
              <w:left w:val="single" w:color="auto" w:sz="4" w:space="0"/>
              <w:bottom w:val="single" w:color="auto" w:sz="4" w:space="0"/>
              <w:right w:val="single" w:color="auto" w:sz="4" w:space="0"/>
            </w:tcBorders>
            <w:vAlign w:val="center"/>
          </w:tcPr>
          <w:p w14:paraId="3532EEE3">
            <w:pPr>
              <w:widowControl/>
              <w:spacing w:line="320" w:lineRule="exact"/>
              <w:rPr>
                <w:rFonts w:hint="eastAsia" w:ascii="宋体" w:hAnsi="宋体" w:cs="宋体"/>
                <w:b/>
                <w:color w:val="000000"/>
                <w:kern w:val="0"/>
              </w:rPr>
            </w:pPr>
            <w:r>
              <w:rPr>
                <w:rFonts w:hint="eastAsia" w:ascii="宋体" w:hAnsi="宋体" w:cs="宋体"/>
                <w:b/>
                <w:color w:val="000000"/>
                <w:kern w:val="0"/>
              </w:rPr>
              <w:t xml:space="preserve">合计金额（含税，大写）：               </w:t>
            </w:r>
          </w:p>
        </w:tc>
        <w:tc>
          <w:tcPr>
            <w:tcW w:w="4323" w:type="dxa"/>
            <w:gridSpan w:val="5"/>
            <w:tcBorders>
              <w:top w:val="single" w:color="auto" w:sz="4" w:space="0"/>
              <w:left w:val="single" w:color="auto" w:sz="4" w:space="0"/>
              <w:bottom w:val="single" w:color="auto" w:sz="4" w:space="0"/>
              <w:right w:val="single" w:color="auto" w:sz="4" w:space="0"/>
            </w:tcBorders>
            <w:vAlign w:val="center"/>
          </w:tcPr>
          <w:p w14:paraId="7E034205">
            <w:pPr>
              <w:widowControl/>
              <w:spacing w:line="320" w:lineRule="exact"/>
              <w:rPr>
                <w:rFonts w:hint="eastAsia" w:ascii="宋体" w:hAnsi="宋体" w:cs="宋体"/>
                <w:b/>
                <w:color w:val="000000"/>
                <w:kern w:val="0"/>
              </w:rPr>
            </w:pPr>
            <w:r>
              <w:rPr>
                <w:rFonts w:hint="eastAsia" w:ascii="宋体" w:hAnsi="宋体" w:cs="宋体"/>
                <w:b/>
                <w:color w:val="000000"/>
                <w:kern w:val="0"/>
              </w:rPr>
              <w:t>合计金额（含税，小写）：</w:t>
            </w:r>
          </w:p>
        </w:tc>
      </w:tr>
    </w:tbl>
    <w:p w14:paraId="0CC466F3">
      <w:pPr>
        <w:widowControl/>
        <w:spacing w:line="360" w:lineRule="auto"/>
        <w:jc w:val="left"/>
        <w:rPr>
          <w:rFonts w:hint="eastAsia" w:ascii="宋体" w:hAnsi="宋体" w:cs="宋体"/>
          <w:b/>
          <w:color w:val="000000"/>
          <w:kern w:val="0"/>
          <w:sz w:val="24"/>
        </w:rPr>
      </w:pPr>
      <w:r>
        <w:rPr>
          <w:rFonts w:hint="eastAsia" w:ascii="宋体" w:hAnsi="宋体" w:cs="宋体"/>
          <w:b/>
          <w:color w:val="000000"/>
          <w:kern w:val="0"/>
          <w:sz w:val="24"/>
        </w:rPr>
        <w:t>二、质量标准：</w:t>
      </w:r>
    </w:p>
    <w:p w14:paraId="65AE1F63">
      <w:pPr>
        <w:widowControl/>
        <w:spacing w:line="360" w:lineRule="auto"/>
        <w:ind w:firstLine="420" w:firstLineChars="200"/>
        <w:jc w:val="left"/>
        <w:rPr>
          <w:rFonts w:hint="eastAsia" w:ascii="宋体" w:hAnsi="宋体"/>
          <w:color w:val="000000"/>
        </w:rPr>
      </w:pPr>
      <w:r>
        <w:rPr>
          <w:rFonts w:hint="eastAsia" w:ascii="宋体" w:hAnsi="宋体"/>
          <w:color w:val="000000"/>
        </w:rPr>
        <w:t>1.乙方提供的物资（设备）必须符合中华人民共和国国家安全环保标准、国家有关产品质量认证标准。没有国家标准的，采用该产品有关行业标准（以较高标准为准）。</w:t>
      </w:r>
    </w:p>
    <w:p w14:paraId="63F7121F">
      <w:pPr>
        <w:widowControl/>
        <w:spacing w:line="360" w:lineRule="auto"/>
        <w:ind w:firstLine="420" w:firstLineChars="200"/>
        <w:jc w:val="left"/>
        <w:rPr>
          <w:rFonts w:hint="eastAsia" w:ascii="宋体" w:hAnsi="宋体"/>
          <w:color w:val="000000"/>
        </w:rPr>
      </w:pPr>
      <w:r>
        <w:rPr>
          <w:rFonts w:hint="eastAsia" w:ascii="宋体" w:hAnsi="宋体"/>
          <w:color w:val="000000"/>
        </w:rPr>
        <w:t>2.甲方对乙方所供物资（设备）有具体技术指标及系统功能要求的，该技术指标及系统功能经甲乙双方</w:t>
      </w:r>
      <w:r>
        <w:rPr>
          <w:rFonts w:hint="eastAsia"/>
          <w:color w:val="000000"/>
        </w:rPr>
        <w:t>书面</w:t>
      </w:r>
      <w:r>
        <w:rPr>
          <w:rFonts w:hint="eastAsia" w:ascii="宋体" w:hAnsi="宋体"/>
          <w:color w:val="000000"/>
        </w:rPr>
        <w:t>确认，作为质量验收标准。</w:t>
      </w:r>
    </w:p>
    <w:p w14:paraId="187F2474">
      <w:pPr>
        <w:widowControl/>
        <w:spacing w:line="360" w:lineRule="auto"/>
        <w:ind w:firstLine="420" w:firstLineChars="200"/>
        <w:jc w:val="left"/>
        <w:rPr>
          <w:rFonts w:hint="eastAsia" w:ascii="宋体" w:hAnsi="宋体"/>
          <w:color w:val="000000"/>
        </w:rPr>
      </w:pPr>
      <w:r>
        <w:rPr>
          <w:rFonts w:hint="eastAsia" w:ascii="宋体" w:hAnsi="宋体"/>
          <w:color w:val="000000"/>
        </w:rPr>
        <w:t>3.以招投标方式采购的物资（设备），招标文件对质量有特殊要求的以双方签字确认的技术协议及招投标文件、中标通知书等文件为准。</w:t>
      </w:r>
    </w:p>
    <w:p w14:paraId="60A62CE9">
      <w:pPr>
        <w:spacing w:line="360" w:lineRule="auto"/>
        <w:outlineLvl w:val="0"/>
        <w:rPr>
          <w:rFonts w:hint="eastAsia" w:ascii="宋体" w:hAnsi="宋体" w:cs="宋体"/>
          <w:b/>
          <w:color w:val="000000"/>
          <w:kern w:val="0"/>
        </w:rPr>
      </w:pPr>
      <w:r>
        <w:rPr>
          <w:rFonts w:hint="eastAsia" w:ascii="宋体" w:hAnsi="宋体" w:cs="宋体"/>
          <w:b/>
          <w:color w:val="000000"/>
          <w:kern w:val="0"/>
        </w:rPr>
        <w:t>三、交货日期、方式及地点：</w:t>
      </w:r>
    </w:p>
    <w:p w14:paraId="6215DE61">
      <w:pPr>
        <w:spacing w:line="360" w:lineRule="auto"/>
        <w:ind w:firstLine="420" w:firstLineChars="200"/>
        <w:outlineLvl w:val="0"/>
        <w:rPr>
          <w:rFonts w:hint="eastAsia" w:ascii="宋体" w:hAnsi="宋体"/>
          <w:color w:val="000000"/>
        </w:rPr>
      </w:pPr>
      <w:r>
        <w:rPr>
          <w:rFonts w:hint="eastAsia" w:ascii="宋体" w:hAnsi="宋体"/>
          <w:color w:val="000000"/>
        </w:rPr>
        <w:t>合同签订之日起</w:t>
      </w:r>
      <w:r>
        <w:rPr>
          <w:rFonts w:hint="eastAsia" w:ascii="宋体" w:hAnsi="宋体"/>
          <w:color w:val="000000"/>
          <w:u w:val="single"/>
        </w:rPr>
        <w:t xml:space="preserve"> </w:t>
      </w:r>
      <w:r>
        <w:rPr>
          <w:rFonts w:ascii="宋体" w:hAnsi="宋体"/>
          <w:color w:val="000000"/>
          <w:u w:val="single"/>
        </w:rPr>
        <w:t xml:space="preserve"> </w:t>
      </w:r>
      <w:r>
        <w:rPr>
          <w:rFonts w:hint="eastAsia" w:ascii="宋体" w:hAnsi="宋体"/>
          <w:b/>
          <w:color w:val="000000"/>
          <w:u w:val="single"/>
        </w:rPr>
        <w:t xml:space="preserve"> </w:t>
      </w:r>
      <w:r>
        <w:rPr>
          <w:rFonts w:hint="eastAsia" w:ascii="宋体" w:hAnsi="宋体"/>
          <w:color w:val="000000"/>
        </w:rPr>
        <w:t>天到货、安装调试并交付使用，交货地点为西安工程大学</w:t>
      </w:r>
      <w:r>
        <w:rPr>
          <w:color w:val="000000"/>
        </w:rPr>
        <w:t>XXXX</w:t>
      </w:r>
      <w:r>
        <w:rPr>
          <w:rFonts w:hint="eastAsia" w:ascii="宋体" w:hAnsi="宋体"/>
          <w:color w:val="000000"/>
        </w:rPr>
        <w:t>（部门）指定地点。</w:t>
      </w:r>
    </w:p>
    <w:p w14:paraId="7C01131D">
      <w:pPr>
        <w:widowControl/>
        <w:spacing w:line="360" w:lineRule="auto"/>
        <w:jc w:val="left"/>
        <w:rPr>
          <w:rFonts w:hint="eastAsia" w:ascii="宋体" w:hAnsi="宋体" w:cs="宋体"/>
          <w:b/>
          <w:bCs/>
          <w:color w:val="000000"/>
          <w:kern w:val="0"/>
        </w:rPr>
      </w:pPr>
      <w:r>
        <w:rPr>
          <w:rFonts w:hint="eastAsia" w:ascii="宋体" w:hAnsi="宋体" w:cs="宋体"/>
          <w:b/>
          <w:color w:val="000000"/>
          <w:kern w:val="0"/>
        </w:rPr>
        <w:t>四、质保及售后承诺</w:t>
      </w:r>
    </w:p>
    <w:p w14:paraId="5047449B">
      <w:pPr>
        <w:snapToGrid w:val="0"/>
        <w:spacing w:line="360" w:lineRule="auto"/>
        <w:ind w:firstLine="420" w:firstLineChars="200"/>
        <w:rPr>
          <w:rFonts w:hint="eastAsia" w:ascii="宋体" w:hAnsi="宋体" w:cs="宋体"/>
          <w:color w:val="000000"/>
          <w:kern w:val="0"/>
        </w:rPr>
      </w:pPr>
      <w:r>
        <w:rPr>
          <w:color w:val="000000"/>
          <w:kern w:val="0"/>
        </w:rPr>
        <w:t>1.</w:t>
      </w:r>
      <w:r>
        <w:rPr>
          <w:rFonts w:hint="eastAsia" w:ascii="宋体" w:hAnsi="宋体" w:cs="宋体"/>
          <w:color w:val="000000"/>
          <w:kern w:val="0"/>
        </w:rPr>
        <w:t>物资（设备）</w:t>
      </w:r>
      <w:r>
        <w:rPr>
          <w:rFonts w:hint="eastAsia"/>
          <w:color w:val="000000"/>
        </w:rPr>
        <w:t>自甲方出具书面验收合格文件之日</w:t>
      </w:r>
      <w:r>
        <w:rPr>
          <w:rFonts w:hint="eastAsia" w:ascii="宋体" w:hAnsi="宋体" w:cs="宋体"/>
          <w:color w:val="000000"/>
          <w:kern w:val="0"/>
        </w:rPr>
        <w:t>起质保期</w:t>
      </w:r>
      <w:r>
        <w:rPr>
          <w:rFonts w:hint="eastAsia" w:ascii="宋体" w:hAnsi="宋体" w:cs="宋体"/>
          <w:color w:val="000000"/>
          <w:kern w:val="0"/>
          <w:u w:val="single"/>
        </w:rPr>
        <w:t xml:space="preserve"> </w:t>
      </w:r>
      <w:r>
        <w:rPr>
          <w:rFonts w:ascii="宋体" w:hAnsi="宋体" w:cs="宋体"/>
          <w:color w:val="000000"/>
          <w:kern w:val="0"/>
          <w:u w:val="single"/>
        </w:rPr>
        <w:t xml:space="preserve"> </w:t>
      </w:r>
      <w:r>
        <w:rPr>
          <w:rFonts w:hint="eastAsia" w:ascii="宋体" w:hAnsi="宋体" w:cs="宋体"/>
          <w:color w:val="000000"/>
          <w:kern w:val="0"/>
          <w:u w:val="single"/>
        </w:rPr>
        <w:t xml:space="preserve"> </w:t>
      </w:r>
      <w:r>
        <w:rPr>
          <w:rFonts w:hint="eastAsia" w:ascii="宋体" w:hAnsi="宋体" w:cs="宋体"/>
          <w:color w:val="000000"/>
          <w:kern w:val="0"/>
        </w:rPr>
        <w:t>年。（国家或行业规定有强制质保期的电子产品可按照国家或行业标准执行，以较高标准执行。）</w:t>
      </w:r>
    </w:p>
    <w:p w14:paraId="591FDEED">
      <w:pPr>
        <w:snapToGrid w:val="0"/>
        <w:spacing w:line="360" w:lineRule="auto"/>
        <w:ind w:firstLine="420" w:firstLineChars="200"/>
        <w:rPr>
          <w:rFonts w:hint="eastAsia" w:ascii="宋体" w:hAnsi="宋体"/>
          <w:color w:val="000000"/>
        </w:rPr>
      </w:pPr>
      <w:r>
        <w:rPr>
          <w:color w:val="000000"/>
        </w:rPr>
        <w:t>2.</w:t>
      </w:r>
      <w:r>
        <w:rPr>
          <w:rFonts w:hint="eastAsia" w:ascii="宋体" w:hAnsi="宋体"/>
          <w:color w:val="000000"/>
        </w:rPr>
        <w:t>质保期内乙方免费上门维修，费用全免；质保期后，乙方仍上门维修，免人工费，可收取相关零配件和材料费。</w:t>
      </w:r>
      <w:r>
        <w:rPr>
          <w:rFonts w:hint="eastAsia"/>
          <w:color w:val="000000"/>
        </w:rPr>
        <w:t>如质保期内发生质量瑕疵，乙方未能按照甲方要求及时提供维修、更换服务，甲方有权要求乙方支付合同金额</w:t>
      </w:r>
      <w:r>
        <w:rPr>
          <w:rFonts w:hint="eastAsia"/>
          <w:color w:val="000000"/>
          <w:u w:val="single"/>
        </w:rPr>
        <w:t>20</w:t>
      </w:r>
      <w:r>
        <w:rPr>
          <w:rFonts w:hint="eastAsia"/>
          <w:color w:val="000000"/>
        </w:rPr>
        <w:t>%的违约金。</w:t>
      </w:r>
    </w:p>
    <w:p w14:paraId="36B8042A">
      <w:pPr>
        <w:snapToGrid w:val="0"/>
        <w:spacing w:line="360" w:lineRule="auto"/>
        <w:ind w:firstLine="420" w:firstLineChars="200"/>
        <w:rPr>
          <w:bCs/>
          <w:color w:val="000000"/>
        </w:rPr>
      </w:pPr>
      <w:r>
        <w:rPr>
          <w:bCs/>
          <w:color w:val="000000"/>
        </w:rPr>
        <w:t>3.</w:t>
      </w:r>
      <w:r>
        <w:rPr>
          <w:rFonts w:hint="eastAsia"/>
          <w:bCs/>
          <w:color w:val="000000"/>
        </w:rPr>
        <w:t>质保期内乙方对甲方提出的服务响应不得超出</w:t>
      </w:r>
      <w:r>
        <w:rPr>
          <w:rFonts w:hint="eastAsia"/>
          <w:bCs/>
          <w:color w:val="000000"/>
          <w:u w:val="single"/>
        </w:rPr>
        <w:t xml:space="preserve"> </w:t>
      </w:r>
      <w:r>
        <w:rPr>
          <w:bCs/>
          <w:color w:val="000000"/>
          <w:u w:val="single"/>
        </w:rPr>
        <w:t xml:space="preserve"> </w:t>
      </w:r>
      <w:r>
        <w:rPr>
          <w:rFonts w:hint="eastAsia"/>
          <w:bCs/>
          <w:color w:val="000000"/>
          <w:u w:val="single"/>
        </w:rPr>
        <w:t xml:space="preserve"> </w:t>
      </w:r>
      <w:r>
        <w:rPr>
          <w:rFonts w:hint="eastAsia"/>
          <w:bCs/>
          <w:color w:val="000000"/>
        </w:rPr>
        <w:t xml:space="preserve">小时，制定解决方案， </w:t>
      </w:r>
      <w:r>
        <w:rPr>
          <w:rFonts w:hint="eastAsia"/>
          <w:bCs/>
          <w:color w:val="000000"/>
          <w:u w:val="single"/>
        </w:rPr>
        <w:t xml:space="preserve"> </w:t>
      </w:r>
      <w:r>
        <w:rPr>
          <w:bCs/>
          <w:color w:val="000000"/>
          <w:u w:val="single"/>
        </w:rPr>
        <w:t xml:space="preserve"> </w:t>
      </w:r>
      <w:r>
        <w:rPr>
          <w:rFonts w:hint="eastAsia"/>
          <w:bCs/>
          <w:color w:val="000000"/>
          <w:u w:val="single"/>
        </w:rPr>
        <w:t xml:space="preserve"> </w:t>
      </w:r>
      <w:r>
        <w:rPr>
          <w:rFonts w:hint="eastAsia"/>
          <w:bCs/>
          <w:color w:val="000000"/>
        </w:rPr>
        <w:t>个工作日内派人到现场维修。乙方逾期维修的，甲方有权委托第三方进行维修，因此产生的全部费用均由乙方自行承担。</w:t>
      </w:r>
    </w:p>
    <w:p w14:paraId="4C847F79">
      <w:pPr>
        <w:snapToGrid w:val="0"/>
        <w:spacing w:line="360" w:lineRule="auto"/>
        <w:ind w:firstLine="420" w:firstLineChars="200"/>
        <w:rPr>
          <w:rFonts w:hint="eastAsia" w:ascii="宋体" w:hAnsi="宋体"/>
          <w:color w:val="000000"/>
        </w:rPr>
      </w:pPr>
      <w:r>
        <w:rPr>
          <w:color w:val="000000"/>
        </w:rPr>
        <w:t>4.</w:t>
      </w:r>
      <w:r>
        <w:rPr>
          <w:rFonts w:hint="eastAsia" w:ascii="宋体" w:hAnsi="宋体"/>
          <w:color w:val="000000"/>
        </w:rPr>
        <w:t>乙方对</w:t>
      </w:r>
      <w:r>
        <w:rPr>
          <w:rFonts w:hint="eastAsia" w:ascii="宋体" w:hAnsi="宋体" w:cs="宋体"/>
          <w:color w:val="000000"/>
          <w:kern w:val="0"/>
        </w:rPr>
        <w:t>物资（设备）出现的有关技术性问题或安全问题负责处理、解决，</w:t>
      </w:r>
      <w:r>
        <w:rPr>
          <w:rFonts w:hint="eastAsia" w:ascii="宋体" w:hAnsi="宋体"/>
          <w:color w:val="000000"/>
        </w:rPr>
        <w:t>承担因质量引起的事故损失。</w:t>
      </w:r>
    </w:p>
    <w:p w14:paraId="121B11FD">
      <w:pPr>
        <w:snapToGrid w:val="0"/>
        <w:spacing w:line="360" w:lineRule="auto"/>
        <w:ind w:firstLine="420" w:firstLineChars="200"/>
        <w:rPr>
          <w:color w:val="000000"/>
        </w:rPr>
      </w:pPr>
      <w:r>
        <w:rPr>
          <w:bCs/>
          <w:color w:val="000000"/>
        </w:rPr>
        <w:t>5.</w:t>
      </w:r>
      <w:r>
        <w:rPr>
          <w:rFonts w:hAnsi="宋体"/>
          <w:bCs/>
          <w:color w:val="000000"/>
        </w:rPr>
        <w:t>乙方免费培训甲方用户</w:t>
      </w:r>
      <w:r>
        <w:rPr>
          <w:bCs/>
          <w:color w:val="000000"/>
          <w:u w:val="single"/>
        </w:rPr>
        <w:t xml:space="preserve">   </w:t>
      </w:r>
      <w:r>
        <w:rPr>
          <w:rFonts w:hAnsi="宋体"/>
          <w:bCs/>
          <w:color w:val="000000"/>
        </w:rPr>
        <w:t>人熟练掌握所供物资（设备）为止。</w:t>
      </w:r>
    </w:p>
    <w:p w14:paraId="338DBFE6">
      <w:pPr>
        <w:widowControl/>
        <w:tabs>
          <w:tab w:val="left" w:pos="1080"/>
        </w:tabs>
        <w:spacing w:line="360" w:lineRule="auto"/>
        <w:jc w:val="left"/>
        <w:rPr>
          <w:rFonts w:hint="eastAsia" w:ascii="宋体" w:hAnsi="宋体" w:cs="宋体"/>
          <w:b/>
          <w:color w:val="000000"/>
          <w:kern w:val="0"/>
        </w:rPr>
      </w:pPr>
      <w:r>
        <w:rPr>
          <w:rFonts w:hint="eastAsia" w:ascii="宋体" w:hAnsi="宋体" w:cs="宋体"/>
          <w:b/>
          <w:color w:val="000000"/>
          <w:kern w:val="0"/>
        </w:rPr>
        <w:t>五、包装及运输：</w:t>
      </w:r>
    </w:p>
    <w:p w14:paraId="60079BBE">
      <w:pPr>
        <w:widowControl/>
        <w:spacing w:line="360" w:lineRule="auto"/>
        <w:ind w:firstLine="420" w:firstLineChars="200"/>
        <w:jc w:val="left"/>
        <w:rPr>
          <w:rFonts w:hint="eastAsia" w:ascii="宋体" w:hAnsi="宋体"/>
          <w:bCs/>
          <w:color w:val="000000"/>
        </w:rPr>
      </w:pPr>
      <w:r>
        <w:rPr>
          <w:rFonts w:hint="eastAsia" w:ascii="宋体" w:hAnsi="宋体" w:cs="宋体"/>
          <w:color w:val="000000"/>
          <w:kern w:val="0"/>
        </w:rPr>
        <w:t>乙方负责运输、搬运上下楼等一切费用并承担运、保费，</w:t>
      </w:r>
      <w:r>
        <w:rPr>
          <w:rFonts w:hint="eastAsia" w:ascii="宋体" w:hAnsi="宋体"/>
          <w:color w:val="000000"/>
        </w:rPr>
        <w:t>保证所供产品为原厂包装，</w:t>
      </w:r>
      <w:r>
        <w:rPr>
          <w:rFonts w:hint="eastAsia" w:ascii="宋体" w:hAnsi="宋体"/>
          <w:bCs/>
          <w:color w:val="000000"/>
        </w:rPr>
        <w:t>开</w:t>
      </w:r>
    </w:p>
    <w:p w14:paraId="1EEEA2EA">
      <w:pPr>
        <w:widowControl/>
        <w:spacing w:line="360" w:lineRule="auto"/>
        <w:jc w:val="left"/>
        <w:rPr>
          <w:rFonts w:hint="eastAsia" w:ascii="宋体" w:hAnsi="宋体" w:cs="宋体"/>
          <w:color w:val="000000"/>
          <w:kern w:val="0"/>
        </w:rPr>
      </w:pPr>
      <w:r>
        <w:rPr>
          <w:rFonts w:hint="eastAsia" w:ascii="宋体" w:hAnsi="宋体"/>
          <w:bCs/>
          <w:color w:val="000000"/>
        </w:rPr>
        <w:t>箱合格率达到</w:t>
      </w:r>
      <w:r>
        <w:rPr>
          <w:bCs/>
          <w:color w:val="000000"/>
        </w:rPr>
        <w:t>100%</w:t>
      </w:r>
      <w:r>
        <w:rPr>
          <w:rFonts w:hint="eastAsia" w:ascii="宋体" w:hAnsi="宋体"/>
          <w:bCs/>
          <w:color w:val="000000"/>
        </w:rPr>
        <w:t>，</w:t>
      </w:r>
      <w:r>
        <w:rPr>
          <w:rFonts w:hint="eastAsia" w:ascii="宋体" w:hAnsi="宋体" w:cs="宋体"/>
          <w:color w:val="000000"/>
          <w:kern w:val="0"/>
        </w:rPr>
        <w:t>使用说明书、质量检验证明书、随配附件和工具以及清单与物资（设备）一起发送。</w:t>
      </w:r>
    </w:p>
    <w:p w14:paraId="43ECAB26">
      <w:pPr>
        <w:widowControl/>
        <w:numPr>
          <w:ilvl w:val="0"/>
          <w:numId w:val="1"/>
        </w:numPr>
        <w:spacing w:line="360" w:lineRule="auto"/>
        <w:ind w:left="540" w:hanging="540"/>
        <w:jc w:val="left"/>
        <w:rPr>
          <w:rFonts w:hint="eastAsia" w:ascii="宋体" w:hAnsi="宋体" w:cs="宋体"/>
          <w:b/>
          <w:color w:val="000000"/>
          <w:kern w:val="0"/>
        </w:rPr>
      </w:pPr>
      <w:r>
        <w:rPr>
          <w:rFonts w:hint="eastAsia" w:ascii="宋体" w:hAnsi="宋体" w:cs="宋体"/>
          <w:b/>
          <w:color w:val="000000"/>
          <w:kern w:val="0"/>
        </w:rPr>
        <w:t>安装、调试及验收：</w:t>
      </w:r>
    </w:p>
    <w:p w14:paraId="696E96DC">
      <w:pPr>
        <w:widowControl/>
        <w:spacing w:line="360" w:lineRule="auto"/>
        <w:ind w:firstLine="420" w:firstLineChars="200"/>
        <w:jc w:val="left"/>
        <w:rPr>
          <w:rFonts w:hint="eastAsia" w:ascii="宋体" w:hAnsi="宋体" w:cs="宋体"/>
          <w:color w:val="000000"/>
          <w:kern w:val="0"/>
        </w:rPr>
      </w:pPr>
      <w:r>
        <w:rPr>
          <w:color w:val="000000"/>
          <w:kern w:val="0"/>
        </w:rPr>
        <w:t>1.</w:t>
      </w:r>
      <w:r>
        <w:rPr>
          <w:rFonts w:hint="eastAsia" w:ascii="宋体" w:hAnsi="宋体" w:cs="宋体"/>
          <w:color w:val="000000"/>
          <w:kern w:val="0"/>
        </w:rPr>
        <w:t>乙方负责安装调试，甲方提供必要的工作条件。</w:t>
      </w:r>
    </w:p>
    <w:p w14:paraId="529E6FC1">
      <w:pPr>
        <w:widowControl/>
        <w:spacing w:line="360" w:lineRule="auto"/>
        <w:ind w:firstLine="420" w:firstLineChars="200"/>
        <w:jc w:val="left"/>
        <w:rPr>
          <w:rFonts w:hint="eastAsia" w:ascii="宋体" w:hAnsi="宋体" w:cs="宋体"/>
          <w:color w:val="000000"/>
          <w:kern w:val="0"/>
        </w:rPr>
      </w:pPr>
      <w:r>
        <w:rPr>
          <w:color w:val="000000"/>
          <w:kern w:val="0"/>
        </w:rPr>
        <w:t>2.</w:t>
      </w:r>
      <w:r>
        <w:rPr>
          <w:rFonts w:hint="eastAsia" w:ascii="宋体" w:hAnsi="宋体" w:cs="宋体"/>
          <w:color w:val="000000"/>
          <w:kern w:val="0"/>
        </w:rPr>
        <w:t>甲方对乙方所供物资（设备）依照合同进行现场验收。验收时甲乙双方均派人到场，由甲方先对物资（设备）外观质量进行验收（包括对产品名称、规格型号、品牌商标、生产厂商、单位、数量等的验收）。乙方安装、调试完成之后，通知甲方对物资（设备）相关技术指标、系统功能进行验收，甲方应在乙方通知后</w:t>
      </w:r>
      <w:r>
        <w:rPr>
          <w:rFonts w:hint="eastAsia" w:ascii="宋体" w:hAnsi="宋体" w:cs="宋体"/>
          <w:color w:val="000000"/>
          <w:kern w:val="0"/>
          <w:u w:val="single"/>
        </w:rPr>
        <w:t xml:space="preserve"> </w:t>
      </w:r>
      <w:r>
        <w:rPr>
          <w:rFonts w:ascii="宋体" w:hAnsi="宋体" w:cs="宋体"/>
          <w:color w:val="000000"/>
          <w:kern w:val="0"/>
          <w:u w:val="single"/>
        </w:rPr>
        <w:t xml:space="preserve"> </w:t>
      </w:r>
      <w:r>
        <w:rPr>
          <w:rFonts w:hint="eastAsia" w:ascii="宋体" w:hAnsi="宋体" w:cs="宋体"/>
          <w:color w:val="000000"/>
          <w:kern w:val="0"/>
          <w:u w:val="single"/>
        </w:rPr>
        <w:t xml:space="preserve"> </w:t>
      </w:r>
      <w:r>
        <w:rPr>
          <w:rFonts w:hint="eastAsia" w:ascii="宋体" w:hAnsi="宋体" w:cs="宋体"/>
          <w:color w:val="000000"/>
          <w:kern w:val="0"/>
        </w:rPr>
        <w:t>日内进行终验，终验合格后甲方向乙方出具终验合格验收报告，作为验收依据。验收不合格的，限期整改；整改仍达不到要求的，作退货处理。</w:t>
      </w:r>
    </w:p>
    <w:p w14:paraId="2332264B">
      <w:pPr>
        <w:widowControl/>
        <w:spacing w:line="360" w:lineRule="auto"/>
        <w:ind w:firstLine="420" w:firstLineChars="200"/>
        <w:jc w:val="left"/>
        <w:rPr>
          <w:rFonts w:hint="eastAsia" w:ascii="宋体" w:hAnsi="宋体" w:cs="宋体"/>
          <w:color w:val="000000"/>
          <w:kern w:val="0"/>
        </w:rPr>
      </w:pPr>
      <w:r>
        <w:rPr>
          <w:color w:val="000000"/>
          <w:kern w:val="0"/>
        </w:rPr>
        <w:t>3.</w:t>
      </w:r>
      <w:r>
        <w:rPr>
          <w:rFonts w:hint="eastAsia" w:ascii="宋体" w:hAnsi="宋体" w:cs="宋体"/>
          <w:color w:val="000000"/>
          <w:kern w:val="0"/>
        </w:rPr>
        <w:t>甲方在质保期内使用过程中如因物资（设备）内在质量出现问题，甲方将乙方所交物资（设备）交至甲方属地技术质量监督部门按双方确认的技术标准进行检测；如果检测与双方确认的质量标准不符，由乙方承担检测费用及负违约责任，违约责任</w:t>
      </w:r>
      <w:r>
        <w:rPr>
          <w:rFonts w:hint="eastAsia" w:ascii="宋体" w:hAnsi="宋体"/>
          <w:color w:val="000000"/>
        </w:rPr>
        <w:t>按本合同第八条第4款处理。</w:t>
      </w:r>
    </w:p>
    <w:p w14:paraId="55F3C34B">
      <w:pPr>
        <w:widowControl/>
        <w:spacing w:line="360" w:lineRule="auto"/>
        <w:ind w:left="-4" w:leftChars="-2" w:firstLine="420" w:firstLineChars="200"/>
        <w:jc w:val="left"/>
        <w:rPr>
          <w:rFonts w:hint="eastAsia" w:ascii="宋体" w:hAnsi="宋体" w:cs="宋体"/>
          <w:color w:val="000000"/>
          <w:kern w:val="0"/>
        </w:rPr>
      </w:pPr>
      <w:r>
        <w:rPr>
          <w:color w:val="000000"/>
          <w:kern w:val="0"/>
        </w:rPr>
        <w:t>4.</w:t>
      </w:r>
      <w:r>
        <w:rPr>
          <w:rFonts w:hint="eastAsia" w:ascii="宋体" w:hAnsi="宋体" w:cs="宋体"/>
          <w:color w:val="000000"/>
          <w:kern w:val="0"/>
        </w:rPr>
        <w:t>如果所供物资（设备）以投标时双方封存样品为准的，可做破坏性检验，以确定乙方货物是否合格。</w:t>
      </w:r>
    </w:p>
    <w:p w14:paraId="0397E8FE">
      <w:pPr>
        <w:widowControl/>
        <w:spacing w:line="360" w:lineRule="auto"/>
        <w:jc w:val="left"/>
        <w:rPr>
          <w:rFonts w:hint="eastAsia" w:ascii="宋体" w:hAnsi="宋体" w:cs="宋体"/>
          <w:b/>
          <w:color w:val="000000" w:themeColor="text1"/>
          <w:kern w:val="0"/>
          <w14:textFill>
            <w14:solidFill>
              <w14:schemeClr w14:val="tx1"/>
            </w14:solidFill>
          </w14:textFill>
        </w:rPr>
      </w:pPr>
      <w:r>
        <w:rPr>
          <w:rFonts w:hint="eastAsia" w:ascii="宋体" w:hAnsi="宋体" w:cs="宋体"/>
          <w:b/>
          <w:color w:val="000000" w:themeColor="text1"/>
          <w:kern w:val="0"/>
          <w14:textFill>
            <w14:solidFill>
              <w14:schemeClr w14:val="tx1"/>
            </w14:solidFill>
          </w14:textFill>
        </w:rPr>
        <w:t>七、付款方式及期限：</w:t>
      </w:r>
    </w:p>
    <w:p w14:paraId="7E02C450">
      <w:pPr>
        <w:widowControl/>
        <w:spacing w:line="360" w:lineRule="auto"/>
        <w:ind w:firstLine="420" w:firstLineChars="200"/>
        <w:jc w:val="left"/>
        <w:rPr>
          <w:rFonts w:hint="eastAsia" w:ascii="宋体" w:hAnsi="宋体" w:cs="宋体"/>
          <w:color w:val="FF0000"/>
          <w:kern w:val="0"/>
        </w:rPr>
      </w:pPr>
      <w:r>
        <w:rPr>
          <w:rFonts w:hint="eastAsia"/>
          <w:color w:val="000000"/>
          <w:kern w:val="0"/>
        </w:rPr>
        <w:t>1. 本合同含税总价：人民币          元整（小写：￥          ）。</w:t>
      </w:r>
    </w:p>
    <w:p w14:paraId="4B323370">
      <w:pPr>
        <w:widowControl/>
        <w:spacing w:line="360" w:lineRule="auto"/>
        <w:ind w:firstLine="420" w:firstLineChars="200"/>
        <w:jc w:val="left"/>
        <w:rPr>
          <w:color w:val="000000"/>
          <w:kern w:val="0"/>
        </w:rPr>
      </w:pPr>
      <w:r>
        <w:rPr>
          <w:rFonts w:hint="eastAsia" w:ascii="宋体" w:hAnsi="宋体" w:cs="宋体"/>
          <w:color w:val="000000"/>
          <w:kern w:val="0"/>
        </w:rPr>
        <w:t xml:space="preserve"> 合同签订后，乙方向甲方提供预付款等额的银行、保险公司等金融机构出具的预付款保函或其他担保措施，甲方向乙方支付合同总价的40%作为预付；待所有物资（设备）到达甲方指定地点，安装、调试完毕并验收合格后，30天内支付合同总价的60%。甲方向乙方付款前，乙方应向甲方开具符合甲方要求的增值税专用发票，若因乙方未开具或逾期开具合法有效的发票，甲方有权顺延付款期限且不承担逾期付款责任。</w:t>
      </w:r>
    </w:p>
    <w:p w14:paraId="5FEC2B9F">
      <w:pPr>
        <w:widowControl/>
        <w:spacing w:line="360" w:lineRule="auto"/>
        <w:ind w:firstLine="420" w:firstLineChars="200"/>
        <w:jc w:val="left"/>
        <w:rPr>
          <w:color w:val="000000"/>
          <w:kern w:val="0"/>
        </w:rPr>
      </w:pPr>
      <w:r>
        <w:rPr>
          <w:rFonts w:hint="eastAsia"/>
          <w:color w:val="000000"/>
          <w:kern w:val="0"/>
        </w:rPr>
        <w:t>2.本合同总价为固定总价，不受市场价格浮动影响，不做任何调整。包括成本、运费、人工费、安装调试费、验收费、保险费、利润、税金、售后服务费、培训费及相关伴随费用等全部费用，甲方无需再就本合同支付额外费用。</w:t>
      </w:r>
    </w:p>
    <w:p w14:paraId="2F5667CF">
      <w:pPr>
        <w:widowControl/>
        <w:spacing w:line="360" w:lineRule="auto"/>
        <w:ind w:firstLine="420" w:firstLineChars="200"/>
        <w:jc w:val="left"/>
        <w:rPr>
          <w:rFonts w:hint="eastAsia" w:ascii="宋体" w:hAnsi="宋体" w:cs="宋体"/>
          <w:color w:val="000000"/>
          <w:kern w:val="0"/>
        </w:rPr>
      </w:pPr>
      <w:r>
        <w:rPr>
          <w:rFonts w:hint="eastAsia" w:ascii="宋体" w:hAnsi="宋体" w:cs="宋体"/>
          <w:color w:val="000000"/>
          <w:kern w:val="0"/>
          <w:lang w:val="en-US" w:eastAsia="zh-CN"/>
        </w:rPr>
        <w:t>3</w:t>
      </w:r>
      <w:r>
        <w:rPr>
          <w:rFonts w:hint="eastAsia" w:ascii="宋体" w:hAnsi="宋体" w:cs="宋体"/>
          <w:color w:val="000000"/>
          <w:kern w:val="0"/>
        </w:rPr>
        <w:t>.支付方式：银行转账。</w:t>
      </w:r>
    </w:p>
    <w:p w14:paraId="20D948EB">
      <w:pPr>
        <w:widowControl/>
        <w:spacing w:line="360" w:lineRule="auto"/>
        <w:ind w:firstLine="420" w:firstLineChars="200"/>
        <w:jc w:val="left"/>
        <w:rPr>
          <w:color w:val="000000"/>
          <w:kern w:val="0"/>
        </w:rPr>
      </w:pPr>
      <w:r>
        <w:rPr>
          <w:rFonts w:hint="eastAsia" w:ascii="宋体" w:hAnsi="宋体" w:cs="宋体"/>
          <w:color w:val="000000"/>
          <w:kern w:val="0"/>
          <w:lang w:val="en-US" w:eastAsia="zh-CN"/>
        </w:rPr>
        <w:t>4</w:t>
      </w:r>
      <w:bookmarkStart w:id="0" w:name="_GoBack"/>
      <w:bookmarkEnd w:id="0"/>
      <w:r>
        <w:rPr>
          <w:rFonts w:hint="eastAsia" w:ascii="宋体" w:hAnsi="宋体" w:cs="宋体"/>
          <w:color w:val="000000"/>
          <w:kern w:val="0"/>
        </w:rPr>
        <w:t>.</w:t>
      </w:r>
      <w:r>
        <w:rPr>
          <w:rFonts w:hint="eastAsia"/>
          <w:color w:val="000000"/>
          <w:kern w:val="0"/>
        </w:rPr>
        <w:t>履约保证金：</w:t>
      </w:r>
    </w:p>
    <w:p w14:paraId="4ACF2C3F">
      <w:pPr>
        <w:widowControl/>
        <w:spacing w:line="348" w:lineRule="auto"/>
        <w:ind w:left="-4" w:leftChars="-2" w:firstLine="411" w:firstLineChars="196"/>
        <w:jc w:val="left"/>
        <w:rPr>
          <w:rFonts w:hint="eastAsia"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（1）乙方成交后凭中标通知书向甲方缴纳合同金额的5%作为履约保证金；</w:t>
      </w:r>
    </w:p>
    <w:p w14:paraId="08E154AB">
      <w:pPr>
        <w:widowControl/>
        <w:spacing w:line="348" w:lineRule="auto"/>
        <w:ind w:left="-4" w:leftChars="-2" w:firstLine="411" w:firstLineChars="196"/>
        <w:jc w:val="left"/>
        <w:rPr>
          <w:rFonts w:hint="eastAsia"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（2）履约保证金应使用人民币，可选择使用银行转账、支票、汇票、本票或者金融机构、担保机构出具的保函等非现金形式缴纳或提交；</w:t>
      </w:r>
    </w:p>
    <w:p w14:paraId="4779C730">
      <w:pPr>
        <w:widowControl/>
        <w:spacing w:line="348" w:lineRule="auto"/>
        <w:ind w:left="-4" w:leftChars="-2" w:firstLine="411" w:firstLineChars="196"/>
        <w:jc w:val="left"/>
        <w:rPr>
          <w:rFonts w:hint="eastAsia" w:ascii="宋体" w:hAnsi="宋体" w:cs="宋体"/>
          <w:color w:val="000000"/>
          <w:kern w:val="0"/>
        </w:rPr>
      </w:pPr>
      <w:r>
        <w:rPr>
          <w:rFonts w:hint="eastAsia" w:ascii="宋体" w:hAnsi="宋体" w:cs="宋体"/>
          <w:color w:val="000000" w:themeColor="text1"/>
          <w:kern w:val="0"/>
          <w14:textFill>
            <w14:solidFill>
              <w14:schemeClr w14:val="tx1"/>
            </w14:solidFill>
          </w14:textFill>
        </w:rPr>
        <w:t>（3）甲方验收合格后，乙方提出书面申请，甲方将履约保证金（无息）退还乙方。</w:t>
      </w:r>
    </w:p>
    <w:p w14:paraId="25DB5694">
      <w:pPr>
        <w:widowControl/>
        <w:spacing w:line="360" w:lineRule="auto"/>
        <w:ind w:firstLine="422" w:firstLineChars="200"/>
        <w:jc w:val="left"/>
        <w:rPr>
          <w:rFonts w:hint="eastAsia" w:ascii="宋体" w:hAnsi="宋体" w:cs="宋体"/>
          <w:b/>
          <w:bCs/>
          <w:color w:val="000000"/>
          <w:kern w:val="0"/>
        </w:rPr>
      </w:pPr>
      <w:r>
        <w:rPr>
          <w:rFonts w:hint="eastAsia" w:ascii="宋体" w:hAnsi="宋体" w:cs="宋体"/>
          <w:b/>
          <w:bCs/>
          <w:color w:val="000000"/>
          <w:kern w:val="0"/>
        </w:rPr>
        <w:t>甲方开票信息：</w:t>
      </w:r>
    </w:p>
    <w:p w14:paraId="6A9532F2">
      <w:pPr>
        <w:widowControl/>
        <w:spacing w:line="360" w:lineRule="auto"/>
        <w:ind w:firstLine="420" w:firstLineChars="200"/>
        <w:jc w:val="left"/>
        <w:rPr>
          <w:rFonts w:hint="eastAsia" w:ascii="宋体" w:hAnsi="宋体" w:cs="宋体"/>
          <w:color w:val="000000"/>
          <w:kern w:val="0"/>
        </w:rPr>
      </w:pPr>
      <w:r>
        <w:rPr>
          <w:rFonts w:hint="eastAsia" w:ascii="宋体" w:hAnsi="宋体" w:cs="宋体"/>
          <w:color w:val="000000"/>
          <w:kern w:val="0"/>
        </w:rPr>
        <w:t>单位名称：西安工程大学</w:t>
      </w:r>
    </w:p>
    <w:p w14:paraId="78D05D2E">
      <w:pPr>
        <w:widowControl/>
        <w:spacing w:line="360" w:lineRule="auto"/>
        <w:ind w:firstLine="420" w:firstLineChars="200"/>
        <w:jc w:val="left"/>
        <w:rPr>
          <w:rFonts w:hint="eastAsia" w:ascii="宋体" w:hAnsi="宋体" w:cs="宋体"/>
          <w:color w:val="000000"/>
          <w:kern w:val="0"/>
        </w:rPr>
      </w:pPr>
      <w:r>
        <w:rPr>
          <w:rFonts w:hint="eastAsia" w:ascii="宋体" w:hAnsi="宋体" w:cs="宋体"/>
          <w:color w:val="000000"/>
          <w:kern w:val="0"/>
        </w:rPr>
        <w:t>统一社会信用代码：</w:t>
      </w:r>
      <w:r>
        <w:rPr>
          <w:spacing w:val="-16"/>
          <w:kern w:val="0"/>
        </w:rPr>
        <w:t>12610000435204205L</w:t>
      </w:r>
      <w:r>
        <w:rPr>
          <w:rFonts w:hint="eastAsia"/>
          <w:spacing w:val="-16"/>
          <w:kern w:val="0"/>
        </w:rPr>
        <w:t xml:space="preserve">   </w:t>
      </w:r>
    </w:p>
    <w:p w14:paraId="6C93A3CC">
      <w:pPr>
        <w:widowControl/>
        <w:spacing w:line="360" w:lineRule="auto"/>
        <w:ind w:firstLine="420" w:firstLineChars="200"/>
        <w:jc w:val="left"/>
        <w:rPr>
          <w:rFonts w:hint="eastAsia" w:ascii="宋体" w:hAnsi="宋体" w:cs="宋体"/>
          <w:color w:val="000000"/>
          <w:kern w:val="0"/>
        </w:rPr>
      </w:pPr>
      <w:r>
        <w:rPr>
          <w:rFonts w:hint="eastAsia" w:ascii="宋体" w:hAnsi="宋体" w:cs="宋体"/>
          <w:color w:val="000000"/>
          <w:kern w:val="0"/>
        </w:rPr>
        <w:t>地址：</w:t>
      </w:r>
      <w:r>
        <w:rPr>
          <w:rFonts w:hint="eastAsia" w:ascii="宋体" w:hAnsi="宋体" w:cs="宋体"/>
          <w:spacing w:val="-16"/>
          <w:kern w:val="0"/>
        </w:rPr>
        <w:t>陕西省西安市碑林区金花南路</w:t>
      </w:r>
      <w:r>
        <w:rPr>
          <w:spacing w:val="-16"/>
          <w:kern w:val="0"/>
        </w:rPr>
        <w:t>19</w:t>
      </w:r>
      <w:r>
        <w:rPr>
          <w:rFonts w:hint="eastAsia" w:ascii="宋体" w:hAnsi="宋体" w:cs="宋体"/>
          <w:spacing w:val="-16"/>
          <w:kern w:val="0"/>
        </w:rPr>
        <w:t xml:space="preserve">号   </w:t>
      </w:r>
    </w:p>
    <w:p w14:paraId="76FFAD23">
      <w:pPr>
        <w:widowControl/>
        <w:spacing w:line="360" w:lineRule="auto"/>
        <w:ind w:firstLine="420" w:firstLineChars="200"/>
        <w:jc w:val="left"/>
        <w:rPr>
          <w:rFonts w:hint="eastAsia" w:ascii="宋体" w:hAnsi="宋体" w:cs="宋体"/>
          <w:color w:val="000000"/>
          <w:kern w:val="0"/>
        </w:rPr>
      </w:pPr>
      <w:r>
        <w:rPr>
          <w:rFonts w:hint="eastAsia" w:ascii="宋体" w:hAnsi="宋体" w:cs="宋体"/>
          <w:color w:val="000000"/>
          <w:kern w:val="0"/>
        </w:rPr>
        <w:t>开户银行：</w:t>
      </w:r>
      <w:r>
        <w:rPr>
          <w:rFonts w:hint="eastAsia" w:ascii="宋体" w:hAnsi="宋体" w:cs="宋体"/>
          <w:spacing w:val="-16"/>
          <w:kern w:val="0"/>
        </w:rPr>
        <w:t xml:space="preserve">中国建设银行股份有限公司西安友谊东路支行 </w:t>
      </w:r>
    </w:p>
    <w:p w14:paraId="49A2046F">
      <w:pPr>
        <w:widowControl/>
        <w:spacing w:line="360" w:lineRule="auto"/>
        <w:ind w:firstLine="420" w:firstLineChars="200"/>
        <w:jc w:val="left"/>
        <w:rPr>
          <w:rFonts w:hint="eastAsia" w:ascii="宋体" w:hAnsi="宋体" w:cs="宋体"/>
          <w:color w:val="000000"/>
          <w:kern w:val="0"/>
        </w:rPr>
      </w:pPr>
      <w:r>
        <w:rPr>
          <w:rFonts w:hint="eastAsia" w:ascii="宋体" w:hAnsi="宋体" w:cs="宋体"/>
          <w:color w:val="000000"/>
          <w:kern w:val="0"/>
        </w:rPr>
        <w:t>账号：</w:t>
      </w:r>
      <w:r>
        <w:rPr>
          <w:rFonts w:hint="eastAsia" w:ascii="宋体" w:hAnsi="宋体" w:cs="宋体"/>
          <w:spacing w:val="-16"/>
          <w:kern w:val="0"/>
        </w:rPr>
        <w:t xml:space="preserve">61050190540000001286   </w:t>
      </w:r>
    </w:p>
    <w:p w14:paraId="679105BE">
      <w:pPr>
        <w:widowControl/>
        <w:spacing w:line="360" w:lineRule="auto"/>
        <w:ind w:firstLine="422" w:firstLineChars="200"/>
        <w:jc w:val="left"/>
        <w:rPr>
          <w:rFonts w:hint="eastAsia" w:ascii="宋体" w:hAnsi="宋体" w:cs="宋体"/>
          <w:b/>
          <w:bCs/>
          <w:color w:val="000000"/>
          <w:kern w:val="0"/>
        </w:rPr>
      </w:pPr>
      <w:r>
        <w:rPr>
          <w:rFonts w:hint="eastAsia" w:ascii="宋体" w:hAnsi="宋体" w:cs="宋体"/>
          <w:b/>
          <w:bCs/>
          <w:color w:val="000000"/>
          <w:kern w:val="0"/>
        </w:rPr>
        <w:t>乙方指定收款账户：</w:t>
      </w:r>
    </w:p>
    <w:p w14:paraId="419627AF">
      <w:pPr>
        <w:widowControl/>
        <w:spacing w:line="360" w:lineRule="auto"/>
        <w:ind w:firstLine="420" w:firstLineChars="200"/>
        <w:jc w:val="left"/>
        <w:rPr>
          <w:rFonts w:hint="eastAsia" w:ascii="宋体" w:hAnsi="宋体" w:cs="宋体"/>
          <w:color w:val="000000"/>
          <w:kern w:val="0"/>
        </w:rPr>
      </w:pPr>
      <w:r>
        <w:rPr>
          <w:rFonts w:hint="eastAsia" w:ascii="宋体" w:hAnsi="宋体" w:cs="宋体"/>
          <w:color w:val="000000"/>
          <w:kern w:val="0"/>
        </w:rPr>
        <w:t>开户名称：</w:t>
      </w:r>
    </w:p>
    <w:p w14:paraId="387D405D">
      <w:pPr>
        <w:widowControl/>
        <w:spacing w:line="360" w:lineRule="auto"/>
        <w:ind w:firstLine="420" w:firstLineChars="200"/>
        <w:jc w:val="left"/>
        <w:rPr>
          <w:rFonts w:hint="eastAsia" w:ascii="宋体" w:hAnsi="宋体" w:cs="宋体"/>
          <w:color w:val="000000"/>
          <w:kern w:val="0"/>
        </w:rPr>
      </w:pPr>
      <w:r>
        <w:rPr>
          <w:rFonts w:hint="eastAsia" w:ascii="宋体" w:hAnsi="宋体" w:cs="宋体"/>
          <w:color w:val="000000"/>
          <w:kern w:val="0"/>
        </w:rPr>
        <w:t>统一社会信用代码：</w:t>
      </w:r>
    </w:p>
    <w:p w14:paraId="381AF6D1">
      <w:pPr>
        <w:widowControl/>
        <w:spacing w:line="360" w:lineRule="auto"/>
        <w:ind w:firstLine="420" w:firstLineChars="200"/>
        <w:jc w:val="left"/>
        <w:rPr>
          <w:rFonts w:hint="eastAsia" w:ascii="宋体" w:hAnsi="宋体" w:cs="宋体"/>
          <w:color w:val="000000"/>
          <w:kern w:val="0"/>
        </w:rPr>
      </w:pPr>
      <w:r>
        <w:rPr>
          <w:rFonts w:hint="eastAsia" w:ascii="宋体" w:hAnsi="宋体" w:cs="宋体"/>
          <w:color w:val="000000"/>
          <w:kern w:val="0"/>
        </w:rPr>
        <w:t>地址：</w:t>
      </w:r>
    </w:p>
    <w:p w14:paraId="7D7B9141">
      <w:pPr>
        <w:widowControl/>
        <w:spacing w:line="360" w:lineRule="auto"/>
        <w:ind w:firstLine="420" w:firstLineChars="200"/>
        <w:jc w:val="left"/>
        <w:rPr>
          <w:rFonts w:hint="eastAsia" w:ascii="宋体" w:hAnsi="宋体" w:cs="宋体"/>
          <w:color w:val="000000"/>
          <w:kern w:val="0"/>
        </w:rPr>
      </w:pPr>
      <w:r>
        <w:rPr>
          <w:rFonts w:hint="eastAsia" w:ascii="宋体" w:hAnsi="宋体" w:cs="宋体"/>
          <w:color w:val="000000"/>
          <w:kern w:val="0"/>
        </w:rPr>
        <w:t>开户银行：</w:t>
      </w:r>
    </w:p>
    <w:p w14:paraId="088068F2">
      <w:pPr>
        <w:widowControl/>
        <w:spacing w:line="360" w:lineRule="auto"/>
        <w:ind w:firstLine="420" w:firstLineChars="200"/>
        <w:jc w:val="left"/>
        <w:rPr>
          <w:rFonts w:hint="eastAsia" w:ascii="宋体" w:hAnsi="宋体" w:cs="宋体"/>
          <w:color w:val="000000"/>
          <w:kern w:val="0"/>
        </w:rPr>
      </w:pPr>
      <w:r>
        <w:rPr>
          <w:rFonts w:hint="eastAsia" w:ascii="宋体" w:hAnsi="宋体" w:cs="宋体"/>
          <w:color w:val="000000"/>
          <w:kern w:val="0"/>
        </w:rPr>
        <w:t>账号：</w:t>
      </w:r>
    </w:p>
    <w:p w14:paraId="4146C8FB">
      <w:pPr>
        <w:widowControl/>
        <w:spacing w:line="360" w:lineRule="auto"/>
        <w:ind w:firstLine="420" w:firstLineChars="200"/>
        <w:jc w:val="left"/>
        <w:rPr>
          <w:rFonts w:hint="eastAsia" w:ascii="宋体" w:hAnsi="宋体" w:cs="宋体"/>
          <w:color w:val="000000"/>
          <w:kern w:val="0"/>
        </w:rPr>
      </w:pPr>
      <w:r>
        <w:rPr>
          <w:rFonts w:hint="eastAsia" w:ascii="宋体" w:hAnsi="宋体" w:cs="宋体"/>
          <w:color w:val="000000"/>
          <w:kern w:val="0"/>
        </w:rPr>
        <w:t>乙方对上述账户的真实性、有效性、准确性负责，若变更账户需提前5日书面告知甲方，因乙方原因导致未受到款项，甲方不承担任何责任。</w:t>
      </w:r>
    </w:p>
    <w:p w14:paraId="53992072">
      <w:pPr>
        <w:widowControl/>
        <w:spacing w:line="360" w:lineRule="auto"/>
        <w:jc w:val="left"/>
        <w:rPr>
          <w:rFonts w:hint="eastAsia" w:ascii="宋体" w:hAnsi="宋体" w:cs="宋体"/>
          <w:b/>
          <w:kern w:val="0"/>
        </w:rPr>
      </w:pPr>
      <w:r>
        <w:rPr>
          <w:rFonts w:hint="eastAsia" w:ascii="宋体" w:hAnsi="宋体" w:cs="宋体"/>
          <w:b/>
          <w:kern w:val="0"/>
        </w:rPr>
        <w:t>八、违约责任：</w:t>
      </w:r>
    </w:p>
    <w:p w14:paraId="347E9865">
      <w:pPr>
        <w:spacing w:line="360" w:lineRule="auto"/>
        <w:ind w:firstLine="420" w:firstLineChars="200"/>
        <w:rPr>
          <w:rFonts w:hint="eastAsia" w:ascii="宋体" w:hAnsi="宋体" w:cs="宋体"/>
        </w:rPr>
      </w:pPr>
      <w:r>
        <w:rPr>
          <w:rFonts w:hint="eastAsia" w:ascii="宋体" w:hAnsi="宋体" w:cs="宋体"/>
        </w:rPr>
        <w:t>1.合同生效后，甲乙双方应按合同规定认真履约。合同履约责任只涉及合同甲乙双方，不考虑第三方因素。</w:t>
      </w:r>
    </w:p>
    <w:p w14:paraId="77A93281">
      <w:pPr>
        <w:spacing w:line="360" w:lineRule="auto"/>
        <w:ind w:firstLine="420" w:firstLineChars="200"/>
        <w:rPr>
          <w:rFonts w:hint="eastAsia" w:ascii="宋体" w:hAnsi="宋体" w:cs="宋体"/>
        </w:rPr>
      </w:pPr>
      <w:r>
        <w:rPr>
          <w:rFonts w:hint="eastAsia" w:ascii="宋体" w:hAnsi="宋体" w:cs="宋体"/>
        </w:rPr>
        <w:t>2.乙方逾期交货，每天应按合同</w:t>
      </w:r>
      <w:r>
        <w:rPr>
          <w:rFonts w:hint="eastAsia" w:ascii="宋体" w:hAnsi="宋体" w:cs="宋体"/>
          <w:color w:val="000000" w:themeColor="text1"/>
          <w14:textFill>
            <w14:solidFill>
              <w14:schemeClr w14:val="tx1"/>
            </w14:solidFill>
          </w14:textFill>
        </w:rPr>
        <w:t>总价的</w:t>
      </w:r>
      <w:r>
        <w:rPr>
          <w:rFonts w:hint="eastAsia" w:ascii="宋体" w:hAnsi="宋体" w:cs="宋体"/>
        </w:rPr>
        <w:t>万分之五</w:t>
      </w:r>
      <w:r>
        <w:rPr>
          <w:rFonts w:hint="eastAsia" w:ascii="宋体" w:hAnsi="宋体" w:cs="宋体"/>
          <w:color w:val="000000" w:themeColor="text1"/>
          <w14:textFill>
            <w14:solidFill>
              <w14:schemeClr w14:val="tx1"/>
            </w14:solidFill>
          </w14:textFill>
        </w:rPr>
        <w:t>向甲方</w:t>
      </w:r>
      <w:r>
        <w:rPr>
          <w:rFonts w:hint="eastAsia" w:ascii="宋体" w:hAnsi="宋体" w:cs="宋体"/>
        </w:rPr>
        <w:t>支付违约金。如乙方逾期含三十天仍未履行或未完全履行交货义务的，甲方有权终止合同，乙方须按合同总价的30%计算向甲方支付违约赔偿金。违约金不足以弥补乙方给甲方造成损失的，乙方应当承担全部赔偿责任，全部赔偿责任的范围包括但不限于预期可得利益、直接损失、赔偿金、违约金、诉讼费用、仲裁费、鉴定费、保全费、保全担保费用、律师费等。</w:t>
      </w:r>
    </w:p>
    <w:p w14:paraId="31037A92">
      <w:pPr>
        <w:widowControl/>
        <w:spacing w:line="360" w:lineRule="auto"/>
        <w:ind w:firstLine="420" w:firstLineChars="200"/>
        <w:rPr>
          <w:rFonts w:hint="eastAsia" w:ascii="宋体" w:hAnsi="宋体" w:cs="宋体"/>
          <w:kern w:val="0"/>
        </w:rPr>
      </w:pPr>
      <w:r>
        <w:rPr>
          <w:rFonts w:hint="eastAsia" w:ascii="宋体" w:hAnsi="宋体" w:cs="宋体"/>
          <w:kern w:val="0"/>
        </w:rPr>
        <w:t>3.甲方无正当理由拒收物资（设备），应向乙方支付合同总价款30%的违约金。</w:t>
      </w:r>
    </w:p>
    <w:p w14:paraId="6D8208AE">
      <w:pPr>
        <w:widowControl/>
        <w:spacing w:line="360" w:lineRule="auto"/>
        <w:ind w:firstLine="420" w:firstLineChars="200"/>
        <w:jc w:val="left"/>
        <w:rPr>
          <w:rFonts w:hint="eastAsia" w:ascii="宋体" w:hAnsi="宋体" w:cs="宋体"/>
          <w:kern w:val="0"/>
        </w:rPr>
      </w:pPr>
      <w:r>
        <w:rPr>
          <w:rFonts w:hint="eastAsia" w:ascii="宋体" w:hAnsi="宋体" w:cs="宋体"/>
          <w:kern w:val="0"/>
        </w:rPr>
        <w:t>4.乙方所交的物资（设备）品种、规格型号、品牌、生产厂商、数量和质量不符合合同约定，所供物资（设备）达不到双方确认的技术标准的，乙方必须无条件退回全部货款，并向甲方支付合同总价款30%的赔偿金。</w:t>
      </w:r>
    </w:p>
    <w:p w14:paraId="3093ECA7">
      <w:pPr>
        <w:widowControl/>
        <w:spacing w:line="360" w:lineRule="auto"/>
        <w:ind w:firstLine="420" w:firstLineChars="200"/>
        <w:jc w:val="left"/>
        <w:rPr>
          <w:rFonts w:hint="eastAsia" w:ascii="宋体" w:hAnsi="宋体" w:cs="宋体"/>
          <w:kern w:val="0"/>
        </w:rPr>
      </w:pPr>
      <w:r>
        <w:rPr>
          <w:rFonts w:hint="eastAsia" w:ascii="宋体" w:hAnsi="宋体" w:cs="宋体"/>
          <w:kern w:val="0"/>
        </w:rPr>
        <w:t>5.</w:t>
      </w:r>
      <w:r>
        <w:rPr>
          <w:rFonts w:ascii="宋体" w:hAnsi="宋体" w:cs="宋体"/>
          <w:kern w:val="0"/>
        </w:rPr>
        <w:t xml:space="preserve"> </w:t>
      </w:r>
      <w:r>
        <w:rPr>
          <w:rFonts w:hint="eastAsia" w:ascii="宋体" w:hAnsi="宋体" w:cs="宋体"/>
          <w:kern w:val="0"/>
        </w:rPr>
        <w:t>因乙方提供的产品存在缺陷或由于乙方的过错使产品存在缺陷造成人身、缺陷产品以外的其他财产损害，乙方应当承担全部赔偿责任。若由此造成甲方先行承担责任的，甲方在承担责任后有权全额向乙方追偿。</w:t>
      </w:r>
    </w:p>
    <w:p w14:paraId="35EA9CCF">
      <w:pPr>
        <w:widowControl/>
        <w:spacing w:line="360" w:lineRule="auto"/>
        <w:ind w:firstLine="420" w:firstLineChars="200"/>
        <w:jc w:val="left"/>
        <w:rPr>
          <w:rFonts w:hint="eastAsia" w:ascii="宋体" w:hAnsi="宋体" w:cs="宋体"/>
          <w:kern w:val="0"/>
        </w:rPr>
      </w:pPr>
      <w:r>
        <w:rPr>
          <w:rFonts w:hint="eastAsia" w:ascii="宋体" w:hAnsi="宋体" w:cs="宋体"/>
          <w:kern w:val="0"/>
        </w:rPr>
        <w:t>6. 质保期内，乙方未履行质量保证条款约定的义务，甲方可自行或联系第三方进行保修，所产生的费用由乙方承担（存在质保金的，可从质保金中扣除，不足部分由乙方补足；不存在质保金的，甲方无义务配合解除相关担保措施，乙方直接向甲方支付费用），同时，乙方还应向甲方承担本合同总价30%的违约金。</w:t>
      </w:r>
    </w:p>
    <w:p w14:paraId="048E7863">
      <w:pPr>
        <w:widowControl/>
        <w:spacing w:line="360" w:lineRule="auto"/>
        <w:ind w:firstLine="420" w:firstLineChars="200"/>
        <w:jc w:val="left"/>
        <w:rPr>
          <w:rFonts w:hint="eastAsia" w:ascii="宋体" w:hAnsi="宋体" w:cs="宋体"/>
          <w:kern w:val="0"/>
        </w:rPr>
      </w:pPr>
      <w:r>
        <w:rPr>
          <w:rFonts w:hint="eastAsia" w:ascii="宋体" w:hAnsi="宋体" w:cs="宋体"/>
          <w:kern w:val="0"/>
        </w:rPr>
        <w:t>7.乙方违反本合同任何一条约定均视为违约，应当承担全部赔偿责任，全部赔偿责任的范围包括但不限于预期可得利益、直接损失、赔偿金、违约金、诉讼费、仲裁费、鉴定费、保全费、保全担保费用、律师费等。</w:t>
      </w:r>
    </w:p>
    <w:p w14:paraId="68AD1081">
      <w:pPr>
        <w:widowControl/>
        <w:spacing w:line="360" w:lineRule="auto"/>
        <w:jc w:val="left"/>
        <w:rPr>
          <w:rFonts w:hint="eastAsia" w:ascii="宋体" w:hAnsi="宋体" w:cs="宋体"/>
          <w:b/>
          <w:kern w:val="0"/>
        </w:rPr>
      </w:pPr>
      <w:r>
        <w:rPr>
          <w:rFonts w:hint="eastAsia" w:ascii="宋体" w:hAnsi="宋体" w:cs="宋体"/>
          <w:b/>
          <w:kern w:val="0"/>
        </w:rPr>
        <w:t>九、争议解决方式：</w:t>
      </w:r>
    </w:p>
    <w:p w14:paraId="525F1AF3">
      <w:pPr>
        <w:widowControl/>
        <w:spacing w:line="360" w:lineRule="auto"/>
        <w:ind w:firstLine="420" w:firstLineChars="200"/>
        <w:rPr>
          <w:rFonts w:hint="eastAsia" w:ascii="宋体" w:hAnsi="宋体" w:cs="宋体"/>
          <w:kern w:val="0"/>
        </w:rPr>
      </w:pPr>
      <w:r>
        <w:rPr>
          <w:rFonts w:hint="eastAsia" w:ascii="宋体" w:hAnsi="宋体" w:cs="宋体"/>
          <w:kern w:val="0"/>
        </w:rPr>
        <w:t>本合同在履行过程中，如发生争议，双方友好协商解决，如协商不成，双方同意在甲方注册地所在地法院起诉解决。</w:t>
      </w:r>
    </w:p>
    <w:p w14:paraId="2599C04F">
      <w:pPr>
        <w:widowControl/>
        <w:spacing w:line="360" w:lineRule="auto"/>
        <w:jc w:val="left"/>
        <w:rPr>
          <w:rFonts w:hint="eastAsia" w:ascii="宋体" w:hAnsi="宋体" w:cs="宋体"/>
          <w:b/>
          <w:kern w:val="0"/>
        </w:rPr>
      </w:pPr>
      <w:r>
        <w:rPr>
          <w:rFonts w:hint="eastAsia" w:ascii="宋体" w:hAnsi="宋体" w:cs="宋体"/>
          <w:b/>
          <w:kern w:val="0"/>
        </w:rPr>
        <w:t>十、其他：</w:t>
      </w:r>
    </w:p>
    <w:p w14:paraId="16735CFC">
      <w:pPr>
        <w:pStyle w:val="4"/>
        <w:adjustRightInd/>
        <w:snapToGrid w:val="0"/>
        <w:spacing w:line="360" w:lineRule="auto"/>
        <w:ind w:firstLine="420" w:firstLineChars="200"/>
        <w:textAlignment w:val="auto"/>
        <w:rPr>
          <w:rFonts w:hint="eastAsia" w:ascii="宋体" w:hAnsi="宋体" w:eastAsia="宋体"/>
          <w:b w:val="0"/>
          <w:szCs w:val="21"/>
        </w:rPr>
      </w:pPr>
      <w:r>
        <w:rPr>
          <w:rFonts w:eastAsia="宋体"/>
          <w:b w:val="0"/>
          <w:szCs w:val="21"/>
        </w:rPr>
        <w:t>1.</w:t>
      </w:r>
      <w:r>
        <w:rPr>
          <w:rFonts w:hint="eastAsia" w:ascii="宋体" w:hAnsi="宋体" w:eastAsia="宋体"/>
          <w:b w:val="0"/>
          <w:szCs w:val="21"/>
        </w:rPr>
        <w:t>本合同一式六份，甲方执四份，乙方执两份，双方签字</w:t>
      </w:r>
      <w:r>
        <w:rPr>
          <w:rFonts w:hint="eastAsia" w:ascii="宋体" w:hAnsi="宋体" w:eastAsia="宋体"/>
          <w:b w:val="0"/>
          <w:color w:val="000000"/>
          <w:szCs w:val="21"/>
        </w:rPr>
        <w:t>并</w:t>
      </w:r>
      <w:r>
        <w:rPr>
          <w:rFonts w:hint="eastAsia" w:ascii="宋体" w:hAnsi="宋体" w:eastAsia="宋体"/>
          <w:b w:val="0"/>
          <w:szCs w:val="21"/>
        </w:rPr>
        <w:t>盖章后生效，具有同等法律效力。合同未尽事宜</w:t>
      </w:r>
      <w:r>
        <w:rPr>
          <w:rFonts w:hint="eastAsia" w:ascii="宋体" w:hAnsi="宋体" w:eastAsia="宋体"/>
          <w:b w:val="0"/>
          <w:kern w:val="2"/>
          <w:szCs w:val="21"/>
        </w:rPr>
        <w:t>双方</w:t>
      </w:r>
      <w:r>
        <w:rPr>
          <w:rFonts w:hint="eastAsia" w:ascii="宋体" w:hAnsi="宋体" w:eastAsia="宋体"/>
          <w:b w:val="0"/>
          <w:szCs w:val="21"/>
        </w:rPr>
        <w:t>可协商解决或另立补充协议补充协议与本合同具有同等法律效力。</w:t>
      </w:r>
    </w:p>
    <w:p w14:paraId="62C2F18F">
      <w:pPr>
        <w:pStyle w:val="4"/>
        <w:adjustRightInd/>
        <w:snapToGrid w:val="0"/>
        <w:spacing w:line="360" w:lineRule="auto"/>
        <w:ind w:firstLine="420" w:firstLineChars="200"/>
        <w:textAlignment w:val="auto"/>
        <w:rPr>
          <w:rFonts w:hint="eastAsia" w:ascii="宋体" w:hAnsi="宋体" w:eastAsia="宋体"/>
          <w:b w:val="0"/>
          <w:szCs w:val="21"/>
        </w:rPr>
      </w:pPr>
      <w:r>
        <w:rPr>
          <w:rFonts w:eastAsia="宋体"/>
          <w:b w:val="0"/>
          <w:szCs w:val="21"/>
        </w:rPr>
        <w:t>2.</w:t>
      </w:r>
      <w:r>
        <w:rPr>
          <w:rFonts w:hint="eastAsia" w:ascii="宋体" w:hAnsi="宋体" w:eastAsia="宋体"/>
          <w:b w:val="0"/>
          <w:szCs w:val="21"/>
        </w:rPr>
        <w:t>在合同实施过程如双方出现争议，物资（设备）清单、技术参数、系统功能要求、甲方招标文件、乙方投标文件等均作为解决争议的参考文件，与本合同具有同等法律效力。</w:t>
      </w:r>
    </w:p>
    <w:p w14:paraId="6BB9D5C3">
      <w:pPr>
        <w:pStyle w:val="4"/>
        <w:adjustRightInd/>
        <w:snapToGrid w:val="0"/>
        <w:spacing w:line="360" w:lineRule="auto"/>
        <w:ind w:firstLine="420" w:firstLineChars="200"/>
        <w:textAlignment w:val="auto"/>
        <w:rPr>
          <w:rFonts w:hint="eastAsia" w:ascii="宋体" w:hAnsi="宋体" w:eastAsia="宋体"/>
          <w:b w:val="0"/>
          <w:color w:val="000000"/>
          <w:kern w:val="2"/>
          <w:szCs w:val="21"/>
        </w:rPr>
      </w:pPr>
      <w:r>
        <w:rPr>
          <w:rFonts w:hint="eastAsia" w:ascii="宋体" w:hAnsi="宋体" w:eastAsia="宋体"/>
          <w:b w:val="0"/>
          <w:color w:val="000000"/>
          <w:kern w:val="2"/>
          <w:szCs w:val="21"/>
        </w:rPr>
        <w:t>3.本合同项下任何一方向对方发出的通知、信件、数据电文等，应当发送至本合同下列约定的地址、联系人和通信终端。</w:t>
      </w:r>
    </w:p>
    <w:p w14:paraId="534A795F">
      <w:pPr>
        <w:pStyle w:val="4"/>
        <w:adjustRightInd/>
        <w:snapToGrid w:val="0"/>
        <w:spacing w:line="360" w:lineRule="auto"/>
        <w:ind w:firstLine="420" w:firstLineChars="200"/>
        <w:textAlignment w:val="auto"/>
        <w:rPr>
          <w:rFonts w:hint="eastAsia" w:ascii="宋体" w:hAnsi="宋体" w:eastAsia="宋体"/>
          <w:b w:val="0"/>
          <w:color w:val="000000"/>
          <w:kern w:val="2"/>
          <w:szCs w:val="21"/>
        </w:rPr>
      </w:pPr>
      <w:r>
        <w:rPr>
          <w:rFonts w:hint="eastAsia" w:ascii="宋体" w:hAnsi="宋体" w:eastAsia="宋体"/>
          <w:b w:val="0"/>
          <w:color w:val="000000"/>
          <w:kern w:val="2"/>
          <w:szCs w:val="21"/>
        </w:rPr>
        <w:t>甲方联系人：</w:t>
      </w:r>
      <w:r>
        <w:rPr>
          <w:rFonts w:hint="eastAsia" w:ascii="宋体" w:hAnsi="宋体" w:eastAsia="宋体"/>
          <w:b w:val="0"/>
          <w:color w:val="000000"/>
          <w:kern w:val="2"/>
          <w:szCs w:val="21"/>
          <w:u w:val="single"/>
        </w:rPr>
        <w:t xml:space="preserve">             </w:t>
      </w:r>
    </w:p>
    <w:p w14:paraId="6B1F2220">
      <w:pPr>
        <w:pStyle w:val="4"/>
        <w:adjustRightInd/>
        <w:snapToGrid w:val="0"/>
        <w:spacing w:line="360" w:lineRule="auto"/>
        <w:ind w:firstLine="420" w:firstLineChars="200"/>
        <w:textAlignment w:val="auto"/>
        <w:rPr>
          <w:rFonts w:hint="eastAsia" w:ascii="宋体" w:hAnsi="宋体" w:eastAsia="宋体"/>
          <w:b w:val="0"/>
          <w:color w:val="000000"/>
          <w:kern w:val="2"/>
          <w:szCs w:val="21"/>
        </w:rPr>
      </w:pPr>
      <w:r>
        <w:rPr>
          <w:rFonts w:hint="eastAsia" w:ascii="宋体" w:hAnsi="宋体" w:eastAsia="宋体"/>
          <w:b w:val="0"/>
          <w:color w:val="000000"/>
          <w:kern w:val="2"/>
          <w:szCs w:val="21"/>
        </w:rPr>
        <w:t>联系电话：</w:t>
      </w:r>
      <w:r>
        <w:rPr>
          <w:rFonts w:hint="eastAsia" w:ascii="宋体" w:hAnsi="宋体" w:eastAsia="宋体"/>
          <w:b w:val="0"/>
          <w:color w:val="000000"/>
          <w:kern w:val="2"/>
          <w:szCs w:val="21"/>
          <w:u w:val="single"/>
        </w:rPr>
        <w:t xml:space="preserve">               </w:t>
      </w:r>
      <w:r>
        <w:rPr>
          <w:rFonts w:hint="eastAsia" w:ascii="宋体" w:hAnsi="宋体" w:eastAsia="宋体"/>
          <w:b w:val="0"/>
          <w:color w:val="000000"/>
          <w:kern w:val="2"/>
          <w:szCs w:val="21"/>
        </w:rPr>
        <w:t xml:space="preserve"> </w:t>
      </w:r>
    </w:p>
    <w:p w14:paraId="246D260E">
      <w:pPr>
        <w:pStyle w:val="4"/>
        <w:adjustRightInd/>
        <w:snapToGrid w:val="0"/>
        <w:spacing w:line="360" w:lineRule="auto"/>
        <w:ind w:firstLine="420" w:firstLineChars="200"/>
        <w:textAlignment w:val="auto"/>
        <w:rPr>
          <w:rFonts w:hint="eastAsia" w:ascii="宋体" w:hAnsi="宋体" w:eastAsia="宋体"/>
          <w:b w:val="0"/>
          <w:color w:val="000000"/>
          <w:kern w:val="2"/>
          <w:szCs w:val="21"/>
        </w:rPr>
      </w:pPr>
      <w:r>
        <w:rPr>
          <w:rFonts w:hint="eastAsia" w:ascii="宋体" w:hAnsi="宋体" w:eastAsia="宋体"/>
          <w:b w:val="0"/>
          <w:color w:val="000000"/>
          <w:kern w:val="2"/>
          <w:szCs w:val="21"/>
        </w:rPr>
        <w:t>联系地址：</w:t>
      </w:r>
      <w:r>
        <w:rPr>
          <w:rFonts w:hint="eastAsia" w:ascii="宋体" w:hAnsi="宋体" w:eastAsia="宋体"/>
          <w:b w:val="0"/>
          <w:color w:val="000000"/>
          <w:kern w:val="2"/>
          <w:szCs w:val="21"/>
          <w:u w:val="single"/>
        </w:rPr>
        <w:t xml:space="preserve"> 陕西省西安市碑林区金花南路19号 </w:t>
      </w:r>
      <w:r>
        <w:rPr>
          <w:rFonts w:hint="eastAsia" w:ascii="宋体" w:hAnsi="宋体" w:eastAsia="宋体"/>
          <w:b w:val="0"/>
          <w:color w:val="000000"/>
          <w:kern w:val="2"/>
          <w:szCs w:val="21"/>
        </w:rPr>
        <w:t xml:space="preserve">   邮编：</w:t>
      </w:r>
      <w:r>
        <w:rPr>
          <w:rFonts w:hint="eastAsia" w:ascii="宋体" w:hAnsi="宋体" w:eastAsia="宋体"/>
          <w:b w:val="0"/>
          <w:color w:val="000000"/>
          <w:kern w:val="2"/>
          <w:szCs w:val="21"/>
          <w:u w:val="single"/>
        </w:rPr>
        <w:t>710048</w:t>
      </w:r>
    </w:p>
    <w:p w14:paraId="0A59A774">
      <w:pPr>
        <w:pStyle w:val="4"/>
        <w:adjustRightInd/>
        <w:snapToGrid w:val="0"/>
        <w:spacing w:line="360" w:lineRule="auto"/>
        <w:ind w:firstLine="420" w:firstLineChars="200"/>
        <w:textAlignment w:val="auto"/>
        <w:rPr>
          <w:rFonts w:hint="eastAsia" w:ascii="宋体" w:hAnsi="宋体" w:eastAsia="宋体"/>
          <w:b w:val="0"/>
          <w:color w:val="000000"/>
          <w:kern w:val="2"/>
          <w:szCs w:val="21"/>
          <w:u w:val="single"/>
        </w:rPr>
      </w:pPr>
      <w:r>
        <w:rPr>
          <w:rFonts w:hint="eastAsia" w:ascii="宋体" w:hAnsi="宋体" w:eastAsia="宋体"/>
          <w:b w:val="0"/>
          <w:color w:val="000000"/>
          <w:kern w:val="2"/>
          <w:szCs w:val="21"/>
        </w:rPr>
        <w:t>电子邮箱：</w:t>
      </w:r>
      <w:r>
        <w:rPr>
          <w:rFonts w:hint="eastAsia" w:ascii="宋体" w:hAnsi="宋体" w:eastAsia="宋体"/>
          <w:b w:val="0"/>
          <w:color w:val="000000"/>
          <w:kern w:val="2"/>
          <w:szCs w:val="21"/>
          <w:u w:val="single"/>
        </w:rPr>
        <w:t xml:space="preserve">                                    </w:t>
      </w:r>
    </w:p>
    <w:p w14:paraId="2C79C1BE">
      <w:pPr>
        <w:pStyle w:val="4"/>
        <w:adjustRightInd/>
        <w:snapToGrid w:val="0"/>
        <w:spacing w:line="360" w:lineRule="auto"/>
        <w:ind w:firstLine="420" w:firstLineChars="200"/>
        <w:textAlignment w:val="auto"/>
        <w:rPr>
          <w:rFonts w:hint="eastAsia" w:ascii="宋体" w:hAnsi="宋体" w:eastAsia="宋体"/>
          <w:b w:val="0"/>
          <w:color w:val="000000"/>
          <w:kern w:val="2"/>
          <w:szCs w:val="21"/>
        </w:rPr>
      </w:pPr>
      <w:r>
        <w:rPr>
          <w:rFonts w:hint="eastAsia" w:ascii="宋体" w:hAnsi="宋体" w:eastAsia="宋体"/>
          <w:b w:val="0"/>
          <w:color w:val="000000"/>
          <w:kern w:val="2"/>
          <w:szCs w:val="21"/>
        </w:rPr>
        <w:t>乙方联系人：</w:t>
      </w:r>
      <w:r>
        <w:rPr>
          <w:rFonts w:hint="eastAsia" w:ascii="宋体" w:hAnsi="宋体" w:eastAsia="宋体"/>
          <w:b w:val="0"/>
          <w:color w:val="000000"/>
          <w:kern w:val="2"/>
          <w:szCs w:val="21"/>
          <w:u w:val="single"/>
        </w:rPr>
        <w:t xml:space="preserve">             </w:t>
      </w:r>
    </w:p>
    <w:p w14:paraId="560A5D21">
      <w:pPr>
        <w:pStyle w:val="4"/>
        <w:adjustRightInd/>
        <w:snapToGrid w:val="0"/>
        <w:spacing w:line="360" w:lineRule="auto"/>
        <w:ind w:firstLine="420" w:firstLineChars="200"/>
        <w:textAlignment w:val="auto"/>
        <w:rPr>
          <w:rFonts w:hint="eastAsia" w:ascii="宋体" w:hAnsi="宋体" w:eastAsia="宋体"/>
          <w:b w:val="0"/>
          <w:color w:val="000000"/>
          <w:kern w:val="2"/>
          <w:szCs w:val="21"/>
        </w:rPr>
      </w:pPr>
      <w:r>
        <w:rPr>
          <w:rFonts w:hint="eastAsia" w:ascii="宋体" w:hAnsi="宋体" w:eastAsia="宋体"/>
          <w:b w:val="0"/>
          <w:color w:val="000000"/>
          <w:kern w:val="2"/>
          <w:szCs w:val="21"/>
        </w:rPr>
        <w:t>联系电话：</w:t>
      </w:r>
      <w:r>
        <w:rPr>
          <w:rFonts w:hint="eastAsia" w:ascii="宋体" w:hAnsi="宋体" w:eastAsia="宋体"/>
          <w:b w:val="0"/>
          <w:color w:val="000000"/>
          <w:kern w:val="2"/>
          <w:szCs w:val="21"/>
          <w:u w:val="single"/>
        </w:rPr>
        <w:t xml:space="preserve">               </w:t>
      </w:r>
      <w:r>
        <w:rPr>
          <w:rFonts w:hint="eastAsia" w:ascii="宋体" w:hAnsi="宋体" w:eastAsia="宋体"/>
          <w:b w:val="0"/>
          <w:color w:val="000000"/>
          <w:kern w:val="2"/>
          <w:szCs w:val="21"/>
        </w:rPr>
        <w:t xml:space="preserve"> </w:t>
      </w:r>
    </w:p>
    <w:p w14:paraId="66A3A349">
      <w:pPr>
        <w:pStyle w:val="4"/>
        <w:adjustRightInd/>
        <w:snapToGrid w:val="0"/>
        <w:spacing w:line="360" w:lineRule="auto"/>
        <w:ind w:firstLine="420" w:firstLineChars="200"/>
        <w:textAlignment w:val="auto"/>
        <w:rPr>
          <w:rFonts w:hint="eastAsia" w:ascii="宋体" w:hAnsi="宋体" w:eastAsia="宋体"/>
          <w:b w:val="0"/>
          <w:color w:val="000000"/>
          <w:kern w:val="2"/>
          <w:szCs w:val="21"/>
        </w:rPr>
      </w:pPr>
      <w:r>
        <w:rPr>
          <w:rFonts w:hint="eastAsia" w:ascii="宋体" w:hAnsi="宋体" w:eastAsia="宋体"/>
          <w:b w:val="0"/>
          <w:color w:val="000000"/>
          <w:kern w:val="2"/>
          <w:szCs w:val="21"/>
        </w:rPr>
        <w:t>联系地址：</w:t>
      </w:r>
      <w:r>
        <w:rPr>
          <w:rFonts w:hint="eastAsia" w:ascii="宋体" w:hAnsi="宋体" w:eastAsia="宋体"/>
          <w:b w:val="0"/>
          <w:color w:val="000000"/>
          <w:kern w:val="2"/>
          <w:szCs w:val="21"/>
          <w:u w:val="single"/>
        </w:rPr>
        <w:t xml:space="preserve">                                           </w:t>
      </w:r>
      <w:r>
        <w:rPr>
          <w:rFonts w:hint="eastAsia" w:ascii="宋体" w:hAnsi="宋体" w:eastAsia="宋体"/>
          <w:b w:val="0"/>
          <w:color w:val="000000"/>
          <w:kern w:val="2"/>
          <w:szCs w:val="21"/>
        </w:rPr>
        <w:t xml:space="preserve">     邮编：</w:t>
      </w:r>
      <w:r>
        <w:rPr>
          <w:rFonts w:hint="eastAsia" w:ascii="宋体" w:hAnsi="宋体" w:eastAsia="宋体"/>
          <w:b w:val="0"/>
          <w:color w:val="000000"/>
          <w:kern w:val="2"/>
          <w:szCs w:val="21"/>
          <w:u w:val="single"/>
        </w:rPr>
        <w:t xml:space="preserve">            </w:t>
      </w:r>
    </w:p>
    <w:p w14:paraId="2EBC21BB">
      <w:pPr>
        <w:pStyle w:val="4"/>
        <w:adjustRightInd/>
        <w:snapToGrid w:val="0"/>
        <w:spacing w:line="360" w:lineRule="auto"/>
        <w:ind w:firstLine="420" w:firstLineChars="200"/>
        <w:textAlignment w:val="auto"/>
        <w:rPr>
          <w:rFonts w:hint="eastAsia" w:ascii="宋体" w:hAnsi="宋体" w:eastAsia="宋体"/>
          <w:b w:val="0"/>
          <w:color w:val="000000"/>
          <w:kern w:val="2"/>
          <w:szCs w:val="21"/>
        </w:rPr>
      </w:pPr>
      <w:r>
        <w:rPr>
          <w:rFonts w:hint="eastAsia" w:ascii="宋体" w:hAnsi="宋体" w:eastAsia="宋体"/>
          <w:b w:val="0"/>
          <w:color w:val="000000"/>
          <w:kern w:val="2"/>
          <w:szCs w:val="21"/>
        </w:rPr>
        <w:t>电子邮箱：</w:t>
      </w:r>
      <w:r>
        <w:rPr>
          <w:rFonts w:hint="eastAsia" w:ascii="宋体" w:hAnsi="宋体" w:eastAsia="宋体"/>
          <w:b w:val="0"/>
          <w:color w:val="000000"/>
          <w:kern w:val="2"/>
          <w:szCs w:val="21"/>
          <w:u w:val="single"/>
        </w:rPr>
        <w:t xml:space="preserve">                                     </w:t>
      </w:r>
    </w:p>
    <w:p w14:paraId="0266C03B">
      <w:pPr>
        <w:spacing w:line="360" w:lineRule="auto"/>
        <w:ind w:firstLine="420" w:firstLineChars="200"/>
        <w:rPr>
          <w:rFonts w:hint="eastAsia" w:ascii="宋体" w:hAnsi="宋体"/>
          <w:color w:val="000000"/>
        </w:rPr>
      </w:pPr>
      <w:r>
        <w:rPr>
          <w:rFonts w:hint="eastAsia" w:ascii="宋体" w:hAnsi="宋体"/>
          <w:color w:val="000000"/>
        </w:rPr>
        <w:t>送达时间以下列规定为准：</w:t>
      </w:r>
    </w:p>
    <w:p w14:paraId="3AE93AE0">
      <w:pPr>
        <w:spacing w:line="360" w:lineRule="auto"/>
        <w:ind w:firstLine="420" w:firstLineChars="200"/>
        <w:rPr>
          <w:rFonts w:hint="eastAsia" w:ascii="宋体" w:hAnsi="宋体"/>
          <w:color w:val="000000"/>
        </w:rPr>
      </w:pPr>
      <w:r>
        <w:rPr>
          <w:rFonts w:hint="eastAsia" w:ascii="宋体" w:hAnsi="宋体"/>
          <w:color w:val="000000"/>
        </w:rPr>
        <w:t>（</w:t>
      </w:r>
      <w:r>
        <w:rPr>
          <w:rFonts w:ascii="宋体" w:hAnsi="宋体"/>
          <w:color w:val="000000"/>
        </w:rPr>
        <w:t>1</w:t>
      </w:r>
      <w:r>
        <w:rPr>
          <w:rFonts w:hint="eastAsia" w:ascii="宋体" w:hAnsi="宋体"/>
          <w:color w:val="000000"/>
        </w:rPr>
        <w:t>）专人递送之日视为送达之日；</w:t>
      </w:r>
    </w:p>
    <w:p w14:paraId="208479FF">
      <w:pPr>
        <w:spacing w:line="360" w:lineRule="auto"/>
        <w:ind w:firstLine="420" w:firstLineChars="200"/>
        <w:rPr>
          <w:rFonts w:hint="eastAsia" w:ascii="宋体" w:hAnsi="宋体"/>
          <w:color w:val="000000"/>
        </w:rPr>
      </w:pPr>
      <w:r>
        <w:rPr>
          <w:rFonts w:hint="eastAsia" w:ascii="宋体" w:hAnsi="宋体"/>
          <w:color w:val="000000"/>
        </w:rPr>
        <w:t>（</w:t>
      </w:r>
      <w:r>
        <w:rPr>
          <w:rFonts w:ascii="宋体" w:hAnsi="宋体"/>
          <w:color w:val="000000"/>
        </w:rPr>
        <w:t>2</w:t>
      </w:r>
      <w:r>
        <w:rPr>
          <w:rFonts w:hint="eastAsia" w:ascii="宋体" w:hAnsi="宋体"/>
          <w:color w:val="000000"/>
        </w:rPr>
        <w:t>）以邮寄方式进行的通知均应采用邮政挂号快件或特快专递的方式进行，自信件交邮后的第2日视为送达；</w:t>
      </w:r>
    </w:p>
    <w:p w14:paraId="1548F538">
      <w:pPr>
        <w:spacing w:line="360" w:lineRule="auto"/>
        <w:ind w:firstLine="420" w:firstLineChars="200"/>
        <w:rPr>
          <w:rFonts w:hint="eastAsia" w:ascii="宋体" w:hAnsi="宋体"/>
          <w:color w:val="000000"/>
        </w:rPr>
      </w:pPr>
      <w:r>
        <w:rPr>
          <w:rFonts w:hint="eastAsia" w:ascii="宋体" w:hAnsi="宋体"/>
          <w:color w:val="000000"/>
        </w:rPr>
        <w:t>（</w:t>
      </w:r>
      <w:r>
        <w:rPr>
          <w:rFonts w:ascii="宋体" w:hAnsi="宋体"/>
          <w:color w:val="000000"/>
        </w:rPr>
        <w:t>3</w:t>
      </w:r>
      <w:r>
        <w:rPr>
          <w:rFonts w:hint="eastAsia" w:ascii="宋体" w:hAnsi="宋体"/>
          <w:color w:val="000000"/>
        </w:rPr>
        <w:t>）短信、传真、微信、电子邮件以顺利发出当天后的第一个工作日视为送达之日；</w:t>
      </w:r>
    </w:p>
    <w:p w14:paraId="2AF4270F">
      <w:pPr>
        <w:spacing w:line="360" w:lineRule="auto"/>
        <w:ind w:firstLine="420" w:firstLineChars="200"/>
        <w:rPr>
          <w:rFonts w:hint="eastAsia" w:ascii="宋体" w:hAnsi="宋体"/>
          <w:color w:val="000000"/>
        </w:rPr>
      </w:pPr>
      <w:r>
        <w:rPr>
          <w:rFonts w:hint="eastAsia" w:ascii="宋体" w:hAnsi="宋体"/>
          <w:color w:val="000000"/>
        </w:rPr>
        <w:t>（4）</w:t>
      </w:r>
      <w:r>
        <w:rPr>
          <w:rFonts w:ascii="宋体" w:hAnsi="宋体"/>
          <w:color w:val="000000"/>
        </w:rPr>
        <w:t>一方当事人变更名称、地址、联系人或通信终端的，应当在变更后3日内及时书面通知对方当事人，对方当事人实际收到变更通知前的送达仍为有效送达，电子送达与书面送达具有同等法律效力。</w:t>
      </w:r>
    </w:p>
    <w:p w14:paraId="738B2963">
      <w:pPr>
        <w:pStyle w:val="4"/>
        <w:adjustRightInd/>
        <w:snapToGrid w:val="0"/>
        <w:spacing w:line="360" w:lineRule="auto"/>
        <w:ind w:firstLine="420" w:firstLineChars="200"/>
        <w:textAlignment w:val="auto"/>
        <w:rPr>
          <w:rFonts w:hint="eastAsia" w:hAnsi="宋体" w:eastAsia="宋体"/>
          <w:b w:val="0"/>
          <w:color w:val="000000"/>
          <w:szCs w:val="21"/>
        </w:rPr>
      </w:pPr>
      <w:r>
        <w:rPr>
          <w:rFonts w:hint="eastAsia" w:eastAsia="宋体"/>
          <w:b w:val="0"/>
          <w:color w:val="000000"/>
          <w:szCs w:val="21"/>
        </w:rPr>
        <w:t>4</w:t>
      </w:r>
      <w:r>
        <w:rPr>
          <w:rFonts w:eastAsia="宋体"/>
          <w:b w:val="0"/>
          <w:color w:val="000000"/>
          <w:szCs w:val="21"/>
        </w:rPr>
        <w:t>.</w:t>
      </w:r>
      <w:r>
        <w:rPr>
          <w:rFonts w:hAnsi="宋体" w:eastAsia="宋体"/>
          <w:b w:val="0"/>
          <w:color w:val="000000"/>
          <w:szCs w:val="21"/>
        </w:rPr>
        <w:t>合同签订地点：西安</w:t>
      </w:r>
      <w:r>
        <w:rPr>
          <w:rFonts w:eastAsia="宋体"/>
          <w:b w:val="0"/>
          <w:color w:val="000000"/>
          <w:szCs w:val="21"/>
        </w:rPr>
        <w:t>·</w:t>
      </w:r>
      <w:r>
        <w:rPr>
          <w:rFonts w:hAnsi="宋体" w:eastAsia="宋体"/>
          <w:b w:val="0"/>
          <w:color w:val="000000"/>
          <w:szCs w:val="21"/>
        </w:rPr>
        <w:t>西安工程大学</w:t>
      </w:r>
      <w:r>
        <w:rPr>
          <w:rFonts w:hint="eastAsia" w:hAnsi="宋体" w:eastAsia="宋体"/>
          <w:b w:val="0"/>
          <w:color w:val="000000"/>
          <w:szCs w:val="21"/>
        </w:rPr>
        <w:t>（      校区）</w:t>
      </w:r>
    </w:p>
    <w:p w14:paraId="3CBFAAFC">
      <w:pPr>
        <w:pStyle w:val="4"/>
        <w:adjustRightInd/>
        <w:snapToGrid w:val="0"/>
        <w:spacing w:line="360" w:lineRule="auto"/>
        <w:ind w:firstLine="420" w:firstLineChars="200"/>
        <w:textAlignment w:val="auto"/>
        <w:rPr>
          <w:rFonts w:hint="eastAsia" w:hAnsi="宋体" w:eastAsia="宋体"/>
          <w:b w:val="0"/>
          <w:szCs w:val="21"/>
        </w:rPr>
      </w:pPr>
      <w:r>
        <w:rPr>
          <w:rFonts w:hint="eastAsia" w:hAnsi="宋体" w:eastAsia="宋体"/>
          <w:b w:val="0"/>
          <w:szCs w:val="21"/>
        </w:rPr>
        <w:t>5</w:t>
      </w:r>
      <w:r>
        <w:rPr>
          <w:rFonts w:hAnsi="宋体" w:eastAsia="宋体"/>
          <w:b w:val="0"/>
          <w:szCs w:val="21"/>
        </w:rPr>
        <w:t>.</w:t>
      </w:r>
      <w:r>
        <w:rPr>
          <w:rFonts w:hint="eastAsia" w:hAnsi="宋体" w:eastAsia="宋体"/>
          <w:b w:val="0"/>
          <w:szCs w:val="21"/>
        </w:rPr>
        <w:t>合同签订时间：________年_____月_____日</w:t>
      </w:r>
    </w:p>
    <w:p w14:paraId="200F4E4E"/>
    <w:p w14:paraId="063BC820">
      <w:pPr>
        <w:widowControl/>
        <w:spacing w:line="360" w:lineRule="auto"/>
        <w:jc w:val="left"/>
        <w:rPr>
          <w:rFonts w:hint="eastAsia" w:ascii="宋体" w:hAnsi="宋体" w:cs="宋体"/>
          <w:kern w:val="0"/>
        </w:rPr>
      </w:pPr>
      <w:r>
        <w:rPr>
          <w:rFonts w:hint="eastAsia" w:ascii="宋体" w:hAnsi="宋体" w:cs="宋体"/>
          <w:bCs/>
          <w:kern w:val="0"/>
        </w:rPr>
        <w:t>需方（甲方）</w:t>
      </w:r>
      <w:r>
        <w:rPr>
          <w:rFonts w:hint="eastAsia" w:ascii="宋体" w:hAnsi="宋体" w:cs="宋体"/>
          <w:kern w:val="0"/>
        </w:rPr>
        <w:t xml:space="preserve">：西安工程大学                   </w:t>
      </w:r>
      <w:r>
        <w:rPr>
          <w:rFonts w:hint="eastAsia" w:ascii="宋体" w:hAnsi="宋体" w:cs="宋体"/>
          <w:bCs/>
          <w:kern w:val="0"/>
        </w:rPr>
        <w:t>供方（</w:t>
      </w:r>
      <w:r>
        <w:rPr>
          <w:rFonts w:hint="eastAsia" w:ascii="宋体" w:hAnsi="宋体" w:cs="宋体"/>
          <w:kern w:val="0"/>
        </w:rPr>
        <w:t xml:space="preserve">乙方）： </w:t>
      </w:r>
    </w:p>
    <w:p w14:paraId="3E793989">
      <w:pPr>
        <w:widowControl/>
        <w:spacing w:line="360" w:lineRule="auto"/>
        <w:jc w:val="left"/>
        <w:rPr>
          <w:rFonts w:hint="eastAsia" w:ascii="宋体" w:hAnsi="宋体" w:cs="宋体"/>
          <w:spacing w:val="-16"/>
          <w:kern w:val="0"/>
        </w:rPr>
      </w:pPr>
      <w:r>
        <w:rPr>
          <w:rFonts w:hint="eastAsia" w:ascii="宋体" w:hAnsi="宋体" w:cs="宋体"/>
          <w:spacing w:val="-16"/>
          <w:kern w:val="0"/>
        </w:rPr>
        <w:t>法定代表人：                                                  法定代表人：</w:t>
      </w:r>
    </w:p>
    <w:p w14:paraId="4BA1024D">
      <w:pPr>
        <w:widowControl/>
        <w:spacing w:line="360" w:lineRule="auto"/>
        <w:jc w:val="left"/>
        <w:rPr>
          <w:rFonts w:hint="eastAsia" w:ascii="宋体" w:hAnsi="宋体" w:cs="宋体"/>
          <w:spacing w:val="-16"/>
          <w:kern w:val="0"/>
        </w:rPr>
      </w:pPr>
      <w:r>
        <w:rPr>
          <w:rFonts w:hint="eastAsia" w:ascii="宋体" w:hAnsi="宋体" w:cs="宋体"/>
          <w:spacing w:val="-16"/>
          <w:kern w:val="0"/>
        </w:rPr>
        <w:t xml:space="preserve">授权代表：  </w:t>
      </w:r>
      <w:r>
        <w:rPr>
          <w:rFonts w:hint="eastAsia" w:ascii="宋体" w:hAnsi="宋体" w:cs="宋体"/>
          <w:kern w:val="0"/>
        </w:rPr>
        <w:t xml:space="preserve">                       </w:t>
      </w:r>
      <w:r>
        <w:rPr>
          <w:rFonts w:hint="eastAsia" w:ascii="宋体" w:hAnsi="宋体" w:cs="宋体"/>
          <w:spacing w:val="-16"/>
          <w:kern w:val="0"/>
        </w:rPr>
        <w:t xml:space="preserve">    　           授权代表：</w:t>
      </w:r>
    </w:p>
    <w:p w14:paraId="7AE23363">
      <w:pPr>
        <w:widowControl/>
        <w:spacing w:line="360" w:lineRule="auto"/>
        <w:rPr>
          <w:rFonts w:hint="eastAsia" w:ascii="宋体" w:hAnsi="宋体" w:cs="宋体"/>
          <w:spacing w:val="-16"/>
          <w:kern w:val="0"/>
        </w:rPr>
      </w:pPr>
      <w:r>
        <w:rPr>
          <w:rFonts w:hint="eastAsia" w:ascii="宋体" w:hAnsi="宋体" w:cs="宋体"/>
          <w:spacing w:val="-16"/>
          <w:kern w:val="0"/>
        </w:rPr>
        <w:t xml:space="preserve">电话：                                                        </w:t>
      </w:r>
      <w:r>
        <w:rPr>
          <w:rFonts w:ascii="宋体" w:hAnsi="宋体" w:cs="宋体"/>
          <w:spacing w:val="-16"/>
          <w:kern w:val="0"/>
        </w:rPr>
        <w:t xml:space="preserve"> </w:t>
      </w:r>
      <w:r>
        <w:rPr>
          <w:rFonts w:hint="eastAsia" w:ascii="宋体" w:hAnsi="宋体" w:cs="宋体"/>
          <w:spacing w:val="-16"/>
          <w:kern w:val="0"/>
        </w:rPr>
        <w:t xml:space="preserve"> 电话：</w:t>
      </w:r>
      <w:r>
        <w:rPr>
          <w:spacing w:val="-16"/>
          <w:kern w:val="0"/>
        </w:rPr>
        <w:t>029-</w:t>
      </w:r>
    </w:p>
    <w:p w14:paraId="52DA60FD">
      <w:pPr>
        <w:widowControl/>
        <w:spacing w:line="360" w:lineRule="auto"/>
        <w:jc w:val="left"/>
        <w:rPr>
          <w:rFonts w:hint="eastAsia" w:ascii="宋体" w:hAnsi="宋体" w:cs="宋体"/>
          <w:spacing w:val="-16"/>
          <w:kern w:val="0"/>
        </w:rPr>
      </w:pPr>
      <w:r>
        <w:rPr>
          <w:rFonts w:hint="eastAsia" w:ascii="宋体" w:hAnsi="宋体" w:cs="宋体"/>
          <w:spacing w:val="-16"/>
          <w:kern w:val="0"/>
        </w:rPr>
        <w:t xml:space="preserve">传真：                                                         </w:t>
      </w:r>
      <w:r>
        <w:rPr>
          <w:rFonts w:ascii="宋体" w:hAnsi="宋体" w:cs="宋体"/>
          <w:spacing w:val="-16"/>
          <w:kern w:val="0"/>
        </w:rPr>
        <w:t xml:space="preserve"> </w:t>
      </w:r>
      <w:r>
        <w:rPr>
          <w:rFonts w:hint="eastAsia" w:ascii="宋体" w:hAnsi="宋体" w:cs="宋体"/>
          <w:spacing w:val="-16"/>
          <w:kern w:val="0"/>
        </w:rPr>
        <w:t>传真：</w:t>
      </w:r>
      <w:r>
        <w:rPr>
          <w:spacing w:val="-16"/>
          <w:kern w:val="0"/>
        </w:rPr>
        <w:t>029-</w:t>
      </w:r>
      <w:r>
        <w:rPr>
          <w:rFonts w:hint="eastAsia" w:ascii="宋体" w:hAnsi="宋体" w:cs="宋体"/>
          <w:spacing w:val="-16"/>
          <w:kern w:val="0"/>
        </w:rPr>
        <w:t xml:space="preserve">   </w:t>
      </w:r>
    </w:p>
    <w:p w14:paraId="6A756B89">
      <w:pPr>
        <w:widowControl/>
        <w:ind w:firstLine="52"/>
        <w:rPr>
          <w:rFonts w:hint="default" w:ascii="宋体" w:hAnsi="宋体" w:cs="宋体"/>
          <w:spacing w:val="-16"/>
          <w:kern w:val="0"/>
          <w:lang w:val="en-US" w:eastAsia="zh-CN"/>
        </w:rPr>
      </w:pPr>
    </w:p>
    <w:p w14:paraId="6039BB18">
      <w:pPr>
        <w:rPr>
          <w:rFonts w:hint="eastAsia"/>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1029AF"/>
    <w:multiLevelType w:val="singleLevel"/>
    <w:tmpl w:val="301029AF"/>
    <w:lvl w:ilvl="0" w:tentative="0">
      <w:start w:val="2"/>
      <w:numFmt w:val="decimal"/>
      <w:suff w:val="space"/>
      <w:lvlText w:val="%1."/>
      <w:lvlJc w:val="left"/>
    </w:lvl>
  </w:abstractNum>
  <w:abstractNum w:abstractNumId="1">
    <w:nsid w:val="7DFA443C"/>
    <w:multiLevelType w:val="multilevel"/>
    <w:tmpl w:val="7DFA443C"/>
    <w:lvl w:ilvl="0" w:tentative="0">
      <w:start w:val="6"/>
      <w:numFmt w:val="japaneseCounting"/>
      <w:lvlText w:val="%1、"/>
      <w:lvlJc w:val="left"/>
      <w:pPr>
        <w:ind w:left="992" w:hanging="510"/>
      </w:pPr>
      <w:rPr>
        <w:rFonts w:hint="default"/>
      </w:rPr>
    </w:lvl>
    <w:lvl w:ilvl="1" w:tentative="0">
      <w:start w:val="3"/>
      <w:numFmt w:val="decimal"/>
      <w:lvlText w:val="%2."/>
      <w:lvlJc w:val="left"/>
      <w:pPr>
        <w:tabs>
          <w:tab w:val="left" w:pos="1262"/>
        </w:tabs>
        <w:ind w:left="1262" w:hanging="360"/>
      </w:pPr>
      <w:rPr>
        <w:rFonts w:hint="default"/>
      </w:r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RhY2VlNzg2YTEyY2QyZDU1YjJiZDE2YzgyMzcyNTEifQ=="/>
  </w:docVars>
  <w:rsids>
    <w:rsidRoot w:val="00567AE1"/>
    <w:rsid w:val="0000770A"/>
    <w:rsid w:val="0001383C"/>
    <w:rsid w:val="000162C5"/>
    <w:rsid w:val="00047C88"/>
    <w:rsid w:val="00053D83"/>
    <w:rsid w:val="00055D19"/>
    <w:rsid w:val="000918D1"/>
    <w:rsid w:val="00092259"/>
    <w:rsid w:val="000971A2"/>
    <w:rsid w:val="000D39AF"/>
    <w:rsid w:val="000F5293"/>
    <w:rsid w:val="000F59B8"/>
    <w:rsid w:val="00122C0E"/>
    <w:rsid w:val="00123693"/>
    <w:rsid w:val="00162210"/>
    <w:rsid w:val="0016437C"/>
    <w:rsid w:val="001B669A"/>
    <w:rsid w:val="001E0D09"/>
    <w:rsid w:val="002114CA"/>
    <w:rsid w:val="00247B00"/>
    <w:rsid w:val="00253A9C"/>
    <w:rsid w:val="00280753"/>
    <w:rsid w:val="002C6399"/>
    <w:rsid w:val="002D0732"/>
    <w:rsid w:val="002E024B"/>
    <w:rsid w:val="002E2D8D"/>
    <w:rsid w:val="00316870"/>
    <w:rsid w:val="0035104B"/>
    <w:rsid w:val="00373607"/>
    <w:rsid w:val="00377CE1"/>
    <w:rsid w:val="003809AC"/>
    <w:rsid w:val="003F19AA"/>
    <w:rsid w:val="0042318E"/>
    <w:rsid w:val="00431A70"/>
    <w:rsid w:val="004376E0"/>
    <w:rsid w:val="00450268"/>
    <w:rsid w:val="00462956"/>
    <w:rsid w:val="00466A9C"/>
    <w:rsid w:val="00484AE6"/>
    <w:rsid w:val="004A0A02"/>
    <w:rsid w:val="004C1762"/>
    <w:rsid w:val="00503D62"/>
    <w:rsid w:val="0053537C"/>
    <w:rsid w:val="00567AE1"/>
    <w:rsid w:val="00576EBA"/>
    <w:rsid w:val="005962E4"/>
    <w:rsid w:val="005C19F8"/>
    <w:rsid w:val="005D0E6E"/>
    <w:rsid w:val="006117E8"/>
    <w:rsid w:val="00617442"/>
    <w:rsid w:val="00644725"/>
    <w:rsid w:val="006D63EC"/>
    <w:rsid w:val="006E7219"/>
    <w:rsid w:val="00715F97"/>
    <w:rsid w:val="00716B78"/>
    <w:rsid w:val="00717425"/>
    <w:rsid w:val="00742B1F"/>
    <w:rsid w:val="00764910"/>
    <w:rsid w:val="00797B5A"/>
    <w:rsid w:val="007D3F10"/>
    <w:rsid w:val="007E5DDF"/>
    <w:rsid w:val="007F0AF9"/>
    <w:rsid w:val="007F4598"/>
    <w:rsid w:val="00862D0C"/>
    <w:rsid w:val="00890113"/>
    <w:rsid w:val="008A6FAB"/>
    <w:rsid w:val="008E7946"/>
    <w:rsid w:val="009101B0"/>
    <w:rsid w:val="009137A5"/>
    <w:rsid w:val="009275BB"/>
    <w:rsid w:val="00963A2B"/>
    <w:rsid w:val="0096761A"/>
    <w:rsid w:val="00971795"/>
    <w:rsid w:val="009A5A64"/>
    <w:rsid w:val="009D15BB"/>
    <w:rsid w:val="00A402D9"/>
    <w:rsid w:val="00A528B9"/>
    <w:rsid w:val="00A60FE4"/>
    <w:rsid w:val="00AE7D97"/>
    <w:rsid w:val="00AF09CE"/>
    <w:rsid w:val="00B35C2E"/>
    <w:rsid w:val="00B47AAB"/>
    <w:rsid w:val="00B556A7"/>
    <w:rsid w:val="00BA0F5D"/>
    <w:rsid w:val="00BB2581"/>
    <w:rsid w:val="00C06D4F"/>
    <w:rsid w:val="00C15DCC"/>
    <w:rsid w:val="00C572F7"/>
    <w:rsid w:val="00CA3D26"/>
    <w:rsid w:val="00CA5235"/>
    <w:rsid w:val="00CA6CF1"/>
    <w:rsid w:val="00CC3F26"/>
    <w:rsid w:val="00CF50C5"/>
    <w:rsid w:val="00D12A3B"/>
    <w:rsid w:val="00D25A93"/>
    <w:rsid w:val="00D27554"/>
    <w:rsid w:val="00D46DD2"/>
    <w:rsid w:val="00D6710D"/>
    <w:rsid w:val="00D92670"/>
    <w:rsid w:val="00DA6961"/>
    <w:rsid w:val="00DD470E"/>
    <w:rsid w:val="00DF2040"/>
    <w:rsid w:val="00DF4AFA"/>
    <w:rsid w:val="00E342F3"/>
    <w:rsid w:val="00E57A1D"/>
    <w:rsid w:val="00E80EB0"/>
    <w:rsid w:val="00E83C0C"/>
    <w:rsid w:val="00E9033B"/>
    <w:rsid w:val="00F01878"/>
    <w:rsid w:val="00F30A06"/>
    <w:rsid w:val="00F41138"/>
    <w:rsid w:val="00FF2B37"/>
    <w:rsid w:val="045F78F9"/>
    <w:rsid w:val="06167D98"/>
    <w:rsid w:val="07B94603"/>
    <w:rsid w:val="0AF37383"/>
    <w:rsid w:val="0E7F582B"/>
    <w:rsid w:val="115278F3"/>
    <w:rsid w:val="1761505B"/>
    <w:rsid w:val="1A8814BB"/>
    <w:rsid w:val="2369402D"/>
    <w:rsid w:val="3CD350D5"/>
    <w:rsid w:val="3D3C45F6"/>
    <w:rsid w:val="40153DF3"/>
    <w:rsid w:val="452144FD"/>
    <w:rsid w:val="4A241912"/>
    <w:rsid w:val="4CF305A7"/>
    <w:rsid w:val="58AB6397"/>
    <w:rsid w:val="5DE04198"/>
    <w:rsid w:val="5FE5563F"/>
    <w:rsid w:val="63134364"/>
    <w:rsid w:val="63927DD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Plain Text"/>
    <w:basedOn w:val="1"/>
    <w:link w:val="11"/>
    <w:qFormat/>
    <w:uiPriority w:val="99"/>
    <w:pPr>
      <w:spacing w:line="324" w:lineRule="auto"/>
    </w:pPr>
    <w:rPr>
      <w:rFonts w:ascii="宋体" w:hAnsi="Courier New"/>
      <w:szCs w:val="21"/>
    </w:rPr>
  </w:style>
  <w:style w:type="paragraph" w:styleId="4">
    <w:name w:val="Date"/>
    <w:basedOn w:val="1"/>
    <w:next w:val="1"/>
    <w:link w:val="12"/>
    <w:qFormat/>
    <w:uiPriority w:val="0"/>
    <w:pPr>
      <w:adjustRightInd w:val="0"/>
      <w:spacing w:line="312" w:lineRule="atLeast"/>
      <w:textAlignment w:val="baseline"/>
    </w:pPr>
    <w:rPr>
      <w:rFonts w:eastAsia="楷体_GB2312"/>
      <w:b/>
      <w:kern w:val="0"/>
      <w:szCs w:val="20"/>
    </w:rPr>
  </w:style>
  <w:style w:type="paragraph" w:styleId="5">
    <w:name w:val="Balloon Text"/>
    <w:basedOn w:val="1"/>
    <w:semiHidden/>
    <w:qFormat/>
    <w:uiPriority w:val="0"/>
    <w:rPr>
      <w:sz w:val="18"/>
      <w:szCs w:val="18"/>
    </w:rPr>
  </w:style>
  <w:style w:type="paragraph" w:styleId="6">
    <w:name w:val="footer"/>
    <w:basedOn w:val="1"/>
    <w:link w:val="13"/>
    <w:qFormat/>
    <w:uiPriority w:val="0"/>
    <w:pPr>
      <w:tabs>
        <w:tab w:val="center" w:pos="4153"/>
        <w:tab w:val="right" w:pos="8306"/>
      </w:tabs>
      <w:snapToGrid w:val="0"/>
      <w:jc w:val="left"/>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character" w:styleId="10">
    <w:name w:val="Hyperlink"/>
    <w:qFormat/>
    <w:uiPriority w:val="0"/>
    <w:rPr>
      <w:color w:val="0000FF"/>
      <w:u w:val="single"/>
    </w:rPr>
  </w:style>
  <w:style w:type="character" w:customStyle="1" w:styleId="11">
    <w:name w:val="纯文本 字符"/>
    <w:link w:val="3"/>
    <w:qFormat/>
    <w:uiPriority w:val="99"/>
    <w:rPr>
      <w:rFonts w:ascii="宋体" w:hAnsi="Courier New"/>
      <w:kern w:val="2"/>
      <w:sz w:val="21"/>
      <w:szCs w:val="21"/>
    </w:rPr>
  </w:style>
  <w:style w:type="character" w:customStyle="1" w:styleId="12">
    <w:name w:val="日期 字符"/>
    <w:link w:val="4"/>
    <w:qFormat/>
    <w:uiPriority w:val="0"/>
    <w:rPr>
      <w:rFonts w:eastAsia="楷体_GB2312"/>
      <w:b/>
      <w:sz w:val="21"/>
      <w:lang w:val="en-US" w:eastAsia="zh-CN" w:bidi="ar-SA"/>
    </w:rPr>
  </w:style>
  <w:style w:type="character" w:customStyle="1" w:styleId="13">
    <w:name w:val="页脚 字符"/>
    <w:link w:val="6"/>
    <w:qFormat/>
    <w:uiPriority w:val="0"/>
    <w:rPr>
      <w:kern w:val="2"/>
      <w:sz w:val="18"/>
      <w:szCs w:val="18"/>
    </w:rPr>
  </w:style>
  <w:style w:type="character" w:customStyle="1" w:styleId="14">
    <w:name w:val="页眉 字符"/>
    <w:link w:val="7"/>
    <w:qFormat/>
    <w:uiPriority w:val="0"/>
    <w:rPr>
      <w:kern w:val="2"/>
      <w:sz w:val="18"/>
      <w:szCs w:val="18"/>
    </w:rPr>
  </w:style>
  <w:style w:type="character" w:customStyle="1" w:styleId="15">
    <w:name w:val="Date Char"/>
    <w:semiHidden/>
    <w:qFormat/>
    <w:locked/>
    <w:uiPriority w:val="0"/>
    <w:rPr>
      <w:rFonts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9</Pages>
  <Words>6603</Words>
  <Characters>6828</Characters>
  <Lines>24</Lines>
  <Paragraphs>6</Paragraphs>
  <TotalTime>7</TotalTime>
  <ScaleCrop>false</ScaleCrop>
  <LinksUpToDate>false</LinksUpToDate>
  <CharactersWithSpaces>8008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2023-03-23T07:07:00Z</dcterms:created>
  <dc:creator>闫炜</dc:creator>
  <cp:lastModifiedBy>卓佲</cp:lastModifiedBy>
  <dcterms:modified xsi:type="dcterms:W3CDTF">2025-10-22T06:59:22Z</dcterms:modified>
  <dc:title>重要提示：</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0D9A51DB65C14407B6DF63FD2BCFEFD3_13</vt:lpwstr>
  </property>
  <property fmtid="{D5CDD505-2E9C-101B-9397-08002B2CF9AE}" pid="4" name="KSOTemplateDocerSaveRecord">
    <vt:lpwstr>eyJoZGlkIjoiNGZkNmVlMWFiZDU5MjhiMmJlM2Y1NmM4NWIyN2E1YTkiLCJ1c2VySWQiOiIyMzUwOTcyMzUifQ==</vt:lpwstr>
  </property>
</Properties>
</file>