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版本号：SZT2025-SN-SC-ZC-FW-111420251114001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2025年秋季学期研究生学位论文质量监测服务采购项目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SZT2025-SN-SC-ZC-FW-1114</w:t>
      </w:r>
      <w:r>
        <w:br/>
      </w:r>
      <w:r>
        <w:br/>
      </w:r>
      <w:r>
        <w:br/>
      </w:r>
    </w:p>
    <w:p>
      <w:pPr>
        <w:pStyle w:val="null3"/>
        <w:jc w:val="center"/>
        <w:outlineLvl w:val="5"/>
      </w:pPr>
      <w:r>
        <w:rPr>
          <w:rFonts w:ascii="仿宋_GB2312" w:hAnsi="仿宋_GB2312" w:cs="仿宋_GB2312" w:eastAsia="仿宋_GB2312"/>
          <w:sz w:val="15"/>
          <w:b/>
        </w:rPr>
        <w:t>西安建筑科技大学</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2025年秋季学期研究生学位论文质量监测服务采购项目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SZT2025-SN-SC-ZC-FW-1114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2025年秋季学期研究生学位论文质量监测服务采购项目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西安建筑科技大学2025年秋季学期研究生学位论文质量监测服务采购项目，1项，具体内容详见单一来源采购文件第三部分。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连杰、马帅、李娜、单博、史肖霞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采购包1：1,601,600.00元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采购包1：1,601,600.00元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2、100万元(含)以上的项目，按照文件标准上限75%计费。3、本项目代理服务费按服务计取。 开户名称：陕西中技招标有限公司 开户行名称：招商银行西安分行营业部 账号：129916812810001 转账事由：(编号后四位）项目招标代理服务费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西安建筑科技大学2025年秋季学期研究生学位论文质量监测服务采购项目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1,601,600.00</w:t>
      </w:r>
    </w:p>
    <w:p>
      <w:pPr>
        <w:pStyle w:val="null3"/>
      </w:pPr>
      <w:r>
        <w:rPr>
          <w:rFonts w:ascii="仿宋_GB2312" w:hAnsi="仿宋_GB2312" w:cs="仿宋_GB2312" w:eastAsia="仿宋_GB2312"/>
        </w:rPr>
        <w:t>采购包最高限价（元）: 1,601,600.00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2025年秋季学期研究生学位论文质量监测服务采购项目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标的名称：2025年秋季学期研究生学位论文质量监测服务采购项目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一、项目概述:</w:t>
            </w:r>
          </w:p>
          <w:p>
            <w:pPr>
              <w:pStyle w:val="null3"/>
              <w:ind w:firstLine="400"/>
            </w:pPr>
            <w:r>
              <w:rPr>
                <w:rFonts w:ascii="仿宋_GB2312" w:hAnsi="仿宋_GB2312" w:cs="仿宋_GB2312" w:eastAsia="仿宋_GB2312"/>
                <w:sz w:val="24"/>
              </w:rPr>
              <w:t>为健全学校研究生教育质量保障体系，提高人才培养和学位授予质量，根据《西安建筑科技大学关于提升研究生学位论文质量的若干规定》文件要求，学校硕士、博士研究生学位论文答辩前盲审和授位后抽检，需采用外单位专家“双盲”方式进行评审，需要拥有权威专家的官方平台保证学位论文质量及评议结果权威有效。</w:t>
            </w:r>
          </w:p>
          <w:p>
            <w:pPr>
              <w:pStyle w:val="null3"/>
            </w:pPr>
            <w:r>
              <w:rPr>
                <w:rFonts w:ascii="仿宋_GB2312" w:hAnsi="仿宋_GB2312" w:cs="仿宋_GB2312" w:eastAsia="仿宋_GB2312"/>
                <w:sz w:val="24"/>
              </w:rPr>
              <w:t>二、学位论文单价限价</w:t>
            </w:r>
          </w:p>
          <w:tbl>
            <w:tblPr>
              <w:tblInd w:type="dxa" w:w="120"/>
              <w:tblBorders>
                <w:top w:val="none" w:color="000000" w:sz="4"/>
                <w:left w:val="none" w:color="000000" w:sz="4"/>
                <w:bottom w:val="none" w:color="000000" w:sz="4"/>
                <w:right w:val="none" w:color="000000" w:sz="4"/>
                <w:insideH w:val="none"/>
                <w:insideV w:val="none"/>
              </w:tblBorders>
            </w:tblPr>
            <w:tblGrid>
              <w:gridCol w:w="264"/>
              <w:gridCol w:w="332"/>
              <w:gridCol w:w="278"/>
              <w:gridCol w:w="461"/>
              <w:gridCol w:w="556"/>
              <w:gridCol w:w="645"/>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撰写语言</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数量（暂定）</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单价限价金额（元）</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博士</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篇次</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中文</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745</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博士</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篇次</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非中文</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硕士</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篇次</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中文</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硕士</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篇次</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非中文</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650</w:t>
                  </w:r>
                </w:p>
              </w:tc>
            </w:tr>
          </w:tbl>
          <w:p>
            <w:pPr>
              <w:pStyle w:val="null3"/>
            </w:pPr>
            <w:r>
              <w:rPr>
                <w:rFonts w:ascii="仿宋_GB2312" w:hAnsi="仿宋_GB2312" w:cs="仿宋_GB2312" w:eastAsia="仿宋_GB2312"/>
                <w:sz w:val="24"/>
              </w:rPr>
              <w:t>三、服务内容与标准</w:t>
            </w:r>
          </w:p>
          <w:p>
            <w:pPr>
              <w:pStyle w:val="null3"/>
              <w:ind w:firstLine="400"/>
            </w:pPr>
            <w:r>
              <w:rPr>
                <w:rFonts w:ascii="仿宋_GB2312" w:hAnsi="仿宋_GB2312" w:cs="仿宋_GB2312" w:eastAsia="仿宋_GB2312"/>
                <w:sz w:val="24"/>
              </w:rPr>
              <w:t>该项目由研究生院统筹开展，核心面向全校研究生学位论文，承担答辩前全盲审评议与学位论文抽检工作。为保障评议结果的权威性和有效性，需依托具备官方资质的权威专家评价平台。专家选聘方面，优先从 “双一流”建设高校遴选，也可吸纳办学水平优于我校的非“双一流” 高校相近学科（专业）或知名企业的专业人才，且平台专家库需实现我校所有学科（专业）的全覆盖。</w:t>
            </w:r>
          </w:p>
          <w:p>
            <w:pPr>
              <w:pStyle w:val="null3"/>
              <w:ind w:firstLine="400"/>
            </w:pPr>
            <w:r>
              <w:rPr>
                <w:rFonts w:ascii="仿宋_GB2312" w:hAnsi="仿宋_GB2312" w:cs="仿宋_GB2312" w:eastAsia="仿宋_GB2312"/>
                <w:sz w:val="24"/>
              </w:rPr>
              <w:t>评审工作须在规定周期内完成。服务方平台须实现按一级学科、二级学科、研究方向、关键词、题目、摘要相结合的方式自动遴选和补充遴选专家；博士学位论文评审专家须具备博士研究生导师资格，或具有正高级专业技术职务；硕士学位论文评审专家须具备硕士研究生导师资格，或具有副高级及以上专业技术职务。</w:t>
            </w:r>
          </w:p>
          <w:p>
            <w:pPr>
              <w:pStyle w:val="null3"/>
              <w:ind w:firstLine="400"/>
            </w:pPr>
            <w:r>
              <w:rPr>
                <w:rFonts w:ascii="仿宋_GB2312" w:hAnsi="仿宋_GB2312" w:cs="仿宋_GB2312" w:eastAsia="仿宋_GB2312"/>
                <w:sz w:val="24"/>
              </w:rPr>
              <w:t>本项目在合同期满前，学校将对学位论文送审平台进行评估，在送审单价不变的前提下，根据服务满意程度，学校有权决定是否续签合同，累计合同履行期限不超过3年。预计送评博士学位论文750篇次、硕士学位论文2928 篇次（其中使用外国语言文字撰写（不包括文学学科门类）的博士学位论文5篇次，硕士学位论文3篇次），送审数量为预估值，最终据实结算。</w:t>
            </w:r>
          </w:p>
          <w:p>
            <w:pPr>
              <w:pStyle w:val="null3"/>
            </w:pPr>
            <w:r>
              <w:rPr>
                <w:rFonts w:ascii="仿宋_GB2312" w:hAnsi="仿宋_GB2312" w:cs="仿宋_GB2312" w:eastAsia="仿宋_GB2312"/>
                <w:sz w:val="24"/>
              </w:rPr>
              <w:t>四、考核标准</w:t>
            </w:r>
          </w:p>
          <w:p>
            <w:pPr>
              <w:pStyle w:val="null3"/>
              <w:ind w:firstLine="400"/>
            </w:pPr>
            <w:r>
              <w:rPr>
                <w:rFonts w:ascii="仿宋_GB2312" w:hAnsi="仿宋_GB2312" w:cs="仿宋_GB2312" w:eastAsia="仿宋_GB2312"/>
                <w:sz w:val="24"/>
              </w:rPr>
              <w:t>在合同期满前，学校对教育部学位论文送审平台的评审质量、评审效率和服务质量进行评估，在满足以下条件基础上，可续签合同，但累计合同履行期限不超过3年：</w:t>
            </w:r>
          </w:p>
          <w:p>
            <w:pPr>
              <w:pStyle w:val="null3"/>
              <w:ind w:firstLine="400"/>
            </w:pPr>
            <w:r>
              <w:rPr>
                <w:rFonts w:ascii="仿宋_GB2312" w:hAnsi="仿宋_GB2312" w:cs="仿宋_GB2312" w:eastAsia="仿宋_GB2312"/>
                <w:sz w:val="24"/>
              </w:rPr>
              <w:t>①送审单价不变；</w:t>
            </w:r>
          </w:p>
          <w:p>
            <w:pPr>
              <w:pStyle w:val="null3"/>
              <w:ind w:firstLine="400"/>
            </w:pPr>
            <w:r>
              <w:rPr>
                <w:rFonts w:ascii="仿宋_GB2312" w:hAnsi="仿宋_GB2312" w:cs="仿宋_GB2312" w:eastAsia="仿宋_GB2312"/>
                <w:sz w:val="24"/>
              </w:rPr>
              <w:t>②按时高效完成博硕论文评审，无严重超期情况；</w:t>
            </w:r>
          </w:p>
          <w:p>
            <w:pPr>
              <w:pStyle w:val="null3"/>
              <w:ind w:firstLine="400"/>
            </w:pPr>
            <w:r>
              <w:rPr>
                <w:rFonts w:ascii="仿宋_GB2312" w:hAnsi="仿宋_GB2312" w:cs="仿宋_GB2312" w:eastAsia="仿宋_GB2312"/>
                <w:sz w:val="24"/>
              </w:rPr>
              <w:t>③及时处理评审异议论文，并设立负面专家清单；</w:t>
            </w:r>
          </w:p>
          <w:p>
            <w:pPr>
              <w:pStyle w:val="null3"/>
              <w:ind w:firstLine="400"/>
            </w:pPr>
            <w:r>
              <w:rPr>
                <w:rFonts w:ascii="仿宋_GB2312" w:hAnsi="仿宋_GB2312" w:cs="仿宋_GB2312" w:eastAsia="仿宋_GB2312"/>
                <w:sz w:val="24"/>
              </w:rPr>
              <w:t>④提供年度学位论文评议情况统计报告及学位论文质量保障工作建议；</w:t>
            </w:r>
          </w:p>
          <w:p>
            <w:pPr>
              <w:pStyle w:val="null3"/>
              <w:ind w:firstLine="400"/>
            </w:pPr>
            <w:r>
              <w:rPr>
                <w:rFonts w:ascii="仿宋_GB2312" w:hAnsi="仿宋_GB2312" w:cs="仿宋_GB2312" w:eastAsia="仿宋_GB2312"/>
                <w:sz w:val="24"/>
              </w:rPr>
              <w:t>⑤每年对校级管理员和院级管理员至少进行一次平台操作培训，并提供和更新平台操作规程。</w:t>
            </w:r>
          </w:p>
          <w:p>
            <w:pPr>
              <w:pStyle w:val="null3"/>
            </w:pPr>
            <w:r>
              <w:rPr>
                <w:rFonts w:ascii="仿宋_GB2312" w:hAnsi="仿宋_GB2312" w:cs="仿宋_GB2312" w:eastAsia="仿宋_GB2312"/>
                <w:sz w:val="24"/>
                <w:color w:val="000000"/>
              </w:rPr>
              <w:t>五、商务要求：</w:t>
            </w:r>
          </w:p>
          <w:p>
            <w:pPr>
              <w:pStyle w:val="null3"/>
            </w:pPr>
            <w:r>
              <w:rPr>
                <w:rFonts w:ascii="仿宋_GB2312" w:hAnsi="仿宋_GB2312" w:cs="仿宋_GB2312" w:eastAsia="仿宋_GB2312"/>
                <w:sz w:val="24"/>
                <w:color w:val="000000"/>
              </w:rPr>
              <w:t xml:space="preserve">  （1）服务期：合同签署之日起至202</w:t>
            </w:r>
            <w:r>
              <w:rPr>
                <w:rFonts w:ascii="仿宋_GB2312" w:hAnsi="仿宋_GB2312" w:cs="仿宋_GB2312" w:eastAsia="仿宋_GB2312"/>
                <w:sz w:val="24"/>
                <w:color w:val="000000"/>
              </w:rPr>
              <w:t>6</w:t>
            </w:r>
            <w:r>
              <w:rPr>
                <w:rFonts w:ascii="仿宋_GB2312" w:hAnsi="仿宋_GB2312" w:cs="仿宋_GB2312" w:eastAsia="仿宋_GB2312"/>
                <w:sz w:val="24"/>
                <w:color w:val="000000"/>
              </w:rPr>
              <w:t>年</w:t>
            </w:r>
            <w:r>
              <w:rPr>
                <w:rFonts w:ascii="仿宋_GB2312" w:hAnsi="仿宋_GB2312" w:cs="仿宋_GB2312" w:eastAsia="仿宋_GB2312"/>
                <w:sz w:val="24"/>
                <w:color w:val="000000"/>
              </w:rPr>
              <w:t>3</w:t>
            </w:r>
            <w:r>
              <w:rPr>
                <w:rFonts w:ascii="仿宋_GB2312" w:hAnsi="仿宋_GB2312" w:cs="仿宋_GB2312" w:eastAsia="仿宋_GB2312"/>
                <w:sz w:val="24"/>
                <w:color w:val="000000"/>
              </w:rPr>
              <w:t>月30日。</w:t>
            </w:r>
          </w:p>
          <w:p>
            <w:pPr>
              <w:pStyle w:val="null3"/>
            </w:pPr>
            <w:r>
              <w:rPr>
                <w:rFonts w:ascii="仿宋_GB2312" w:hAnsi="仿宋_GB2312" w:cs="仿宋_GB2312" w:eastAsia="仿宋_GB2312"/>
                <w:sz w:val="24"/>
                <w:color w:val="000000"/>
              </w:rPr>
              <w:t xml:space="preserve">  （2）服务地点：采购人指定地点。</w:t>
            </w:r>
          </w:p>
          <w:p>
            <w:pPr>
              <w:pStyle w:val="null3"/>
            </w:pPr>
            <w:r>
              <w:rPr>
                <w:rFonts w:ascii="仿宋_GB2312" w:hAnsi="仿宋_GB2312" w:cs="仿宋_GB2312" w:eastAsia="仿宋_GB2312"/>
                <w:sz w:val="24"/>
                <w:color w:val="000000"/>
              </w:rPr>
              <w:t xml:space="preserve">  （3）付款方式：</w:t>
            </w:r>
            <w:r>
              <w:rPr>
                <w:rFonts w:ascii="仿宋_GB2312" w:hAnsi="仿宋_GB2312" w:cs="仿宋_GB2312" w:eastAsia="仿宋_GB2312"/>
                <w:sz w:val="24"/>
              </w:rPr>
              <w:t>（因电子化交易系统限制原因，实际付款方式以此为准）合同签订后，2025年11月31日前采购人通过银行电汇付给乙方￥960960元，以后每次根据当期实际送审篇次结算费用。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合同签署之日起至2026年3月30日。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合同签订后，2026年11月31日前采购人通过银行电汇付给供应商</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以后每次根据当期实际送审篇次结算费用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根据单一来源采购文件、响应文件及合同规定执行。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1、成交供应商在领取成交通知书时，提交响应文件正本壹份、副本壹套，纸质版文件需与系统电子响应文件保持一致。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商务偏离表.docx 服务方案.docx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标的清单 报价表 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响应文件是否满足采购要求</w:t>
            </w:r>
          </w:p>
        </w:tc>
        <w:tc>
          <w:tcPr>
            <w:tcW w:type="dxa" w:w="1661"/>
          </w:tcPr>
          <w:p>
            <w:pPr>
              <w:pStyle w:val="null3"/>
            </w:pPr>
            <w:r>
              <w:rPr>
                <w:rFonts w:ascii="仿宋_GB2312" w:hAnsi="仿宋_GB2312" w:cs="仿宋_GB2312" w:eastAsia="仿宋_GB2312"/>
              </w:rPr>
              <w:t>商务偏离表.docx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