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EDD92">
      <w:pPr>
        <w:pStyle w:val="8"/>
        <w:jc w:val="center"/>
        <w:outlineLvl w:val="9"/>
        <w:rPr>
          <w:rFonts w:ascii="宋体" w:hAnsi="宋体" w:cs="宋体"/>
          <w:b/>
          <w:bCs/>
          <w:spacing w:val="-20"/>
          <w:kern w:val="44"/>
          <w:sz w:val="48"/>
          <w:szCs w:val="48"/>
        </w:rPr>
      </w:pPr>
    </w:p>
    <w:p w14:paraId="2F9DCF8F">
      <w:pPr>
        <w:pStyle w:val="8"/>
        <w:jc w:val="center"/>
        <w:outlineLvl w:val="9"/>
        <w:rPr>
          <w:rFonts w:ascii="宋体" w:hAnsi="宋体" w:cs="宋体"/>
          <w:b/>
          <w:bCs/>
          <w:spacing w:val="-20"/>
          <w:kern w:val="44"/>
          <w:sz w:val="48"/>
          <w:szCs w:val="48"/>
        </w:rPr>
      </w:pPr>
    </w:p>
    <w:p w14:paraId="39E68FED">
      <w:pPr>
        <w:pStyle w:val="8"/>
        <w:jc w:val="center"/>
        <w:outlineLvl w:val="9"/>
        <w:rPr>
          <w:rFonts w:ascii="宋体" w:hAnsi="宋体" w:cs="宋体"/>
          <w:b/>
          <w:bCs/>
          <w:spacing w:val="-20"/>
          <w:kern w:val="44"/>
          <w:sz w:val="48"/>
          <w:szCs w:val="48"/>
        </w:rPr>
      </w:pPr>
    </w:p>
    <w:p w14:paraId="5CA9E086">
      <w:pPr>
        <w:pStyle w:val="8"/>
        <w:jc w:val="both"/>
        <w:outlineLvl w:val="9"/>
        <w:rPr>
          <w:rFonts w:ascii="宋体" w:hAnsi="宋体" w:cs="宋体"/>
          <w:b/>
          <w:bCs/>
          <w:spacing w:val="-20"/>
          <w:kern w:val="44"/>
          <w:sz w:val="48"/>
          <w:szCs w:val="48"/>
        </w:rPr>
      </w:pPr>
    </w:p>
    <w:p w14:paraId="150FAC09">
      <w:pPr>
        <w:outlineLvl w:val="9"/>
        <w:rPr>
          <w:rFonts w:hint="eastAsia"/>
        </w:rPr>
      </w:pPr>
    </w:p>
    <w:p w14:paraId="3D75BD04">
      <w:pPr>
        <w:pStyle w:val="2"/>
        <w:outlineLvl w:val="9"/>
      </w:pPr>
    </w:p>
    <w:p w14:paraId="505C9F50">
      <w:pPr>
        <w:pStyle w:val="8"/>
        <w:jc w:val="center"/>
        <w:outlineLvl w:val="0"/>
        <w:rPr>
          <w:rFonts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服务</w:t>
      </w:r>
      <w:r>
        <w:rPr>
          <w:rFonts w:hint="eastAsia" w:ascii="仿宋" w:hAnsi="仿宋" w:eastAsia="仿宋" w:cs="仿宋"/>
          <w:b/>
          <w:bCs/>
          <w:spacing w:val="-20"/>
          <w:kern w:val="44"/>
          <w:sz w:val="48"/>
          <w:szCs w:val="48"/>
        </w:rPr>
        <w:t>合同</w:t>
      </w:r>
    </w:p>
    <w:p w14:paraId="6807E7FC">
      <w:pPr>
        <w:outlineLvl w:val="9"/>
        <w:rPr>
          <w:rFonts w:ascii="仿宋" w:hAnsi="仿宋" w:eastAsia="仿宋" w:cs="仿宋"/>
          <w:b/>
          <w:bCs/>
          <w:spacing w:val="-20"/>
          <w:kern w:val="44"/>
          <w:sz w:val="40"/>
          <w:szCs w:val="40"/>
        </w:rPr>
      </w:pPr>
    </w:p>
    <w:p w14:paraId="4602EB44">
      <w:pPr>
        <w:outlineLvl w:val="9"/>
        <w:rPr>
          <w:rFonts w:ascii="仿宋" w:hAnsi="仿宋" w:eastAsia="仿宋" w:cs="仿宋"/>
          <w:b/>
          <w:bCs/>
          <w:spacing w:val="-20"/>
          <w:kern w:val="44"/>
          <w:sz w:val="40"/>
          <w:szCs w:val="40"/>
        </w:rPr>
      </w:pPr>
    </w:p>
    <w:p w14:paraId="1F9930CE">
      <w:pPr>
        <w:outlineLvl w:val="9"/>
        <w:rPr>
          <w:rFonts w:ascii="仿宋" w:hAnsi="仿宋" w:eastAsia="仿宋" w:cs="仿宋"/>
          <w:b/>
          <w:bCs/>
          <w:spacing w:val="-20"/>
          <w:kern w:val="44"/>
          <w:sz w:val="40"/>
          <w:szCs w:val="40"/>
        </w:rPr>
      </w:pPr>
    </w:p>
    <w:p w14:paraId="1695A8D4">
      <w:pPr>
        <w:spacing w:line="360" w:lineRule="auto"/>
        <w:ind w:left="420" w:leftChars="200"/>
        <w:outlineLvl w:val="9"/>
        <w:rPr>
          <w:rFonts w:hint="eastAsia" w:ascii="仿宋" w:hAnsi="仿宋" w:eastAsia="仿宋" w:cs="仿宋"/>
          <w:sz w:val="32"/>
          <w:szCs w:val="32"/>
          <w:u w:val="single"/>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35F1B37C">
      <w:pPr>
        <w:spacing w:line="360" w:lineRule="auto"/>
        <w:ind w:left="420" w:leftChars="200"/>
        <w:outlineLvl w:val="9"/>
        <w:rPr>
          <w:rFonts w:hint="default" w:ascii="仿宋" w:hAnsi="仿宋" w:eastAsia="仿宋" w:cs="仿宋"/>
          <w:sz w:val="32"/>
          <w:szCs w:val="32"/>
          <w:u w:val="single"/>
          <w:lang w:val="en-US" w:eastAsia="zh-CN"/>
        </w:rPr>
      </w:pPr>
      <w:r>
        <w:rPr>
          <w:rFonts w:hint="eastAsia" w:ascii="仿宋" w:hAnsi="仿宋" w:eastAsia="仿宋" w:cs="仿宋"/>
          <w:kern w:val="0"/>
          <w:sz w:val="32"/>
          <w:szCs w:val="32"/>
        </w:rPr>
        <w:t>合同包号：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14:paraId="2867C22C">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292911CF">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5806BD91">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63C6D071">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4F5E2DF3">
      <w:pPr>
        <w:outlineLvl w:val="9"/>
        <w:rPr>
          <w:rFonts w:ascii="仿宋" w:hAnsi="仿宋" w:eastAsia="仿宋" w:cs="仿宋"/>
          <w:sz w:val="44"/>
          <w:szCs w:val="44"/>
        </w:rPr>
      </w:pPr>
    </w:p>
    <w:p w14:paraId="6285CD5A">
      <w:pPr>
        <w:outlineLvl w:val="9"/>
        <w:rPr>
          <w:rFonts w:ascii="仿宋" w:hAnsi="仿宋" w:eastAsia="仿宋" w:cs="仿宋"/>
          <w:sz w:val="44"/>
          <w:szCs w:val="44"/>
        </w:rPr>
      </w:pPr>
    </w:p>
    <w:p w14:paraId="6FD21B95">
      <w:pPr>
        <w:outlineLvl w:val="9"/>
        <w:rPr>
          <w:rFonts w:ascii="仿宋" w:hAnsi="仿宋" w:eastAsia="仿宋" w:cs="仿宋"/>
          <w:sz w:val="44"/>
          <w:szCs w:val="44"/>
        </w:rPr>
      </w:pPr>
    </w:p>
    <w:p w14:paraId="320D586B">
      <w:pPr>
        <w:spacing w:line="360" w:lineRule="auto"/>
        <w:jc w:val="center"/>
        <w:outlineLvl w:val="9"/>
        <w:rPr>
          <w:rFonts w:ascii="仿宋" w:hAnsi="仿宋" w:eastAsia="仿宋" w:cs="仿宋"/>
          <w:b/>
          <w:sz w:val="36"/>
          <w:szCs w:val="36"/>
        </w:rPr>
        <w:sectPr>
          <w:footerReference r:id="rId3" w:type="default"/>
          <w:pgSz w:w="11906" w:h="16838"/>
          <w:pgMar w:top="1440" w:right="1800" w:bottom="1440" w:left="1800" w:header="851" w:footer="992" w:gutter="0"/>
          <w:cols w:space="720" w:num="1"/>
          <w:docGrid w:type="lines" w:linePitch="312" w:charSpace="0"/>
        </w:sectPr>
      </w:pPr>
    </w:p>
    <w:p w14:paraId="63BF5E34">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合同文本</w:t>
      </w:r>
    </w:p>
    <w:p w14:paraId="706300DD">
      <w:pPr>
        <w:spacing w:line="480" w:lineRule="auto"/>
        <w:jc w:val="center"/>
        <w:rPr>
          <w:rFonts w:ascii="仿宋" w:hAnsi="仿宋" w:eastAsia="仿宋" w:cs="仿宋"/>
          <w:sz w:val="22"/>
          <w:u w:val="single"/>
        </w:rPr>
      </w:pPr>
      <w:r>
        <w:rPr>
          <w:rFonts w:hint="eastAsia" w:ascii="仿宋" w:hAnsi="仿宋" w:eastAsia="仿宋" w:cs="仿宋"/>
          <w:sz w:val="22"/>
          <w:u w:val="single"/>
        </w:rPr>
        <w:t>（本部分合同文本为成交后，甲乙双方签订采购合同时参考使用文本）</w:t>
      </w:r>
    </w:p>
    <w:p w14:paraId="5DAB012A">
      <w:pPr>
        <w:spacing w:line="480" w:lineRule="auto"/>
        <w:rPr>
          <w:rFonts w:ascii="仿宋" w:hAnsi="仿宋" w:eastAsia="仿宋" w:cs="仿宋"/>
          <w:sz w:val="24"/>
          <w:szCs w:val="24"/>
        </w:rPr>
      </w:pPr>
    </w:p>
    <w:p w14:paraId="2310D092">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甲方：</w:t>
      </w:r>
      <w:r>
        <w:rPr>
          <w:rFonts w:hint="eastAsia" w:ascii="仿宋" w:hAnsi="仿宋" w:eastAsia="仿宋" w:cs="仿宋"/>
          <w:b/>
          <w:sz w:val="22"/>
          <w:u w:val="single"/>
          <w:lang w:val="zh-CN"/>
        </w:rPr>
        <w:t>（</w:t>
      </w:r>
      <w:r>
        <w:rPr>
          <w:rFonts w:hint="eastAsia" w:ascii="仿宋" w:hAnsi="仿宋" w:eastAsia="仿宋" w:cs="仿宋"/>
          <w:b/>
          <w:sz w:val="22"/>
          <w:u w:val="single"/>
        </w:rPr>
        <w:t>采购人</w:t>
      </w:r>
      <w:r>
        <w:rPr>
          <w:rFonts w:hint="eastAsia" w:ascii="仿宋" w:hAnsi="仿宋" w:eastAsia="仿宋" w:cs="仿宋"/>
          <w:b/>
          <w:sz w:val="22"/>
          <w:u w:val="single"/>
          <w:lang w:val="zh-CN"/>
        </w:rPr>
        <w:t>）</w:t>
      </w:r>
    </w:p>
    <w:p w14:paraId="47AF654E">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乙方：</w:t>
      </w:r>
      <w:r>
        <w:rPr>
          <w:rFonts w:hint="eastAsia" w:ascii="仿宋" w:hAnsi="仿宋" w:eastAsia="仿宋" w:cs="仿宋"/>
          <w:b/>
          <w:sz w:val="22"/>
          <w:u w:val="single"/>
          <w:lang w:val="zh-CN"/>
        </w:rPr>
        <w:t>（</w:t>
      </w:r>
      <w:r>
        <w:rPr>
          <w:rFonts w:hint="eastAsia" w:ascii="仿宋" w:hAnsi="仿宋" w:eastAsia="仿宋" w:cs="仿宋"/>
          <w:b/>
          <w:sz w:val="22"/>
          <w:u w:val="single"/>
        </w:rPr>
        <w:t>成交人</w:t>
      </w:r>
      <w:r>
        <w:rPr>
          <w:rFonts w:hint="eastAsia" w:ascii="仿宋" w:hAnsi="仿宋" w:eastAsia="仿宋" w:cs="仿宋"/>
          <w:b/>
          <w:sz w:val="22"/>
          <w:u w:val="single"/>
          <w:lang w:val="zh-CN"/>
        </w:rPr>
        <w:t>）</w:t>
      </w:r>
    </w:p>
    <w:p w14:paraId="3271D98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iCs/>
          <w:sz w:val="22"/>
          <w:u w:val="single"/>
        </w:rPr>
        <w:t>项目名称</w:t>
      </w:r>
      <w:r>
        <w:rPr>
          <w:rFonts w:hint="eastAsia" w:ascii="仿宋" w:hAnsi="仿宋" w:eastAsia="仿宋" w:cs="仿宋"/>
          <w:sz w:val="22"/>
        </w:rPr>
        <w:t>采用竞争性磋商采购方式进行采购，经磋商小组评审推荐，</w:t>
      </w:r>
      <w:r>
        <w:rPr>
          <w:rFonts w:hint="eastAsia" w:ascii="仿宋" w:hAnsi="仿宋" w:eastAsia="仿宋" w:cs="仿宋"/>
          <w:iCs/>
          <w:sz w:val="22"/>
          <w:u w:val="single"/>
        </w:rPr>
        <w:t>采购人　</w:t>
      </w:r>
      <w:r>
        <w:rPr>
          <w:rFonts w:hint="eastAsia" w:ascii="仿宋" w:hAnsi="仿宋" w:eastAsia="仿宋" w:cs="仿宋"/>
          <w:iCs/>
          <w:sz w:val="22"/>
        </w:rPr>
        <w:t>确</w:t>
      </w:r>
      <w:r>
        <w:rPr>
          <w:rFonts w:hint="eastAsia" w:ascii="仿宋" w:hAnsi="仿宋" w:eastAsia="仿宋" w:cs="仿宋"/>
          <w:sz w:val="22"/>
        </w:rPr>
        <w:t>认</w:t>
      </w:r>
      <w:r>
        <w:rPr>
          <w:rFonts w:hint="eastAsia" w:ascii="仿宋" w:hAnsi="仿宋" w:eastAsia="仿宋" w:cs="仿宋"/>
          <w:iCs/>
          <w:sz w:val="22"/>
          <w:u w:val="single"/>
        </w:rPr>
        <w:t xml:space="preserve">  成交人  </w:t>
      </w:r>
      <w:r>
        <w:rPr>
          <w:rFonts w:hint="eastAsia" w:ascii="仿宋" w:hAnsi="仿宋" w:eastAsia="仿宋" w:cs="仿宋"/>
          <w:iCs/>
          <w:sz w:val="22"/>
        </w:rPr>
        <w:t>为</w:t>
      </w:r>
      <w:r>
        <w:rPr>
          <w:rFonts w:hint="eastAsia" w:ascii="仿宋" w:hAnsi="仿宋" w:eastAsia="仿宋" w:cs="仿宋"/>
          <w:sz w:val="22"/>
        </w:rPr>
        <w:t>本项目</w:t>
      </w:r>
      <w:r>
        <w:rPr>
          <w:rFonts w:hint="eastAsia" w:ascii="仿宋" w:hAnsi="仿宋" w:eastAsia="仿宋" w:cs="仿宋"/>
          <w:sz w:val="22"/>
          <w:u w:val="single"/>
        </w:rPr>
        <w:t xml:space="preserve"> 包号 </w:t>
      </w:r>
      <w:r>
        <w:rPr>
          <w:rFonts w:hint="eastAsia" w:ascii="仿宋" w:hAnsi="仿宋" w:eastAsia="仿宋" w:cs="仿宋"/>
          <w:sz w:val="22"/>
        </w:rPr>
        <w:t>的成交人。</w:t>
      </w:r>
    </w:p>
    <w:p w14:paraId="2243CE5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依据《中华人民共和国民法典》和《中华人民共和国政府采购法》等法律法规，经双方协商按下述条款和条件签署本合同。</w:t>
      </w:r>
    </w:p>
    <w:p w14:paraId="366A2FB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甲方通过竞争性磋商方式，接受了乙方以总金额</w:t>
      </w:r>
      <w:r>
        <w:rPr>
          <w:rFonts w:hint="eastAsia" w:ascii="仿宋" w:hAnsi="仿宋" w:eastAsia="仿宋" w:cs="仿宋"/>
          <w:sz w:val="22"/>
          <w:u w:val="single"/>
        </w:rPr>
        <w:t xml:space="preserve"> 大写（￥小写） </w:t>
      </w:r>
      <w:r>
        <w:rPr>
          <w:rFonts w:hint="eastAsia" w:ascii="仿宋" w:hAnsi="仿宋" w:eastAsia="仿宋" w:cs="仿宋"/>
          <w:sz w:val="22"/>
        </w:rPr>
        <w:t>（以下简称“合同价”)提供合同条款附件所述货物和服务。</w:t>
      </w:r>
    </w:p>
    <w:p w14:paraId="1EB5146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本合同在此声明如下：</w:t>
      </w:r>
    </w:p>
    <w:p w14:paraId="366E9D55">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1.本合同中的词语和术语的含义与合同条款中定义的相同。</w:t>
      </w:r>
    </w:p>
    <w:p w14:paraId="5B9D75F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2.下述文件是本合同的一部分，并与本合同一起阅读和解释：</w:t>
      </w:r>
    </w:p>
    <w:p w14:paraId="0CA15B78">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2-1合同通用条款</w:t>
      </w:r>
    </w:p>
    <w:p w14:paraId="7B151B1C">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2-2合同条款附件（如有）</w:t>
      </w:r>
    </w:p>
    <w:p w14:paraId="02781B23">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附件1-采购需求</w:t>
      </w:r>
    </w:p>
    <w:p w14:paraId="19C63F15">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附件2-</w:t>
      </w:r>
      <w:r>
        <w:rPr>
          <w:rFonts w:hint="eastAsia" w:ascii="仿宋" w:hAnsi="仿宋" w:eastAsia="仿宋" w:cs="仿宋"/>
          <w:sz w:val="22"/>
          <w:u w:val="single"/>
        </w:rPr>
        <w:t xml:space="preserve">        </w:t>
      </w:r>
    </w:p>
    <w:p w14:paraId="7D07279E">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2-3成交通知书</w:t>
      </w:r>
    </w:p>
    <w:p w14:paraId="4A428B11">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2-4磋商文件</w:t>
      </w:r>
    </w:p>
    <w:p w14:paraId="4DC4235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2-5响应文件</w:t>
      </w:r>
      <w:bookmarkStart w:id="0" w:name="_Toc72309707"/>
      <w:bookmarkStart w:id="1" w:name="_Toc72310076"/>
      <w:bookmarkStart w:id="2" w:name="_Toc71298322"/>
    </w:p>
    <w:p w14:paraId="3498ABC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2-6澄清或承诺函（如有）</w:t>
      </w:r>
      <w:bookmarkEnd w:id="0"/>
      <w:bookmarkEnd w:id="1"/>
      <w:bookmarkEnd w:id="2"/>
    </w:p>
    <w:p w14:paraId="1BB4C746">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2-7甲乙双方协商的其他条款</w:t>
      </w:r>
    </w:p>
    <w:p w14:paraId="74AAE7B2">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3.考虑到甲方将按照本合同向乙方支付货款，乙方在此保证全部按照合同的规定向甲方提供货物和服务，并修补缺陷。</w:t>
      </w:r>
    </w:p>
    <w:p w14:paraId="4866710D">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4.考虑到乙方提供的货物和服务并修补缺陷，甲方在此保证按照合同规定的时间和方式向乙方支付合同价或其他按合同规定应支付的金额。</w:t>
      </w:r>
    </w:p>
    <w:p w14:paraId="51D1948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5.本合同一式</w:t>
      </w:r>
      <w:r>
        <w:rPr>
          <w:rFonts w:hint="eastAsia" w:ascii="仿宋" w:hAnsi="仿宋" w:eastAsia="仿宋" w:cs="仿宋"/>
          <w:sz w:val="22"/>
          <w:u w:val="single"/>
        </w:rPr>
        <w:t xml:space="preserve"> 　</w:t>
      </w:r>
      <w:r>
        <w:rPr>
          <w:rFonts w:hint="eastAsia" w:ascii="仿宋" w:hAnsi="仿宋" w:eastAsia="仿宋" w:cs="仿宋"/>
          <w:sz w:val="22"/>
        </w:rPr>
        <w:t>份，其中，甲方</w:t>
      </w:r>
      <w:r>
        <w:rPr>
          <w:rFonts w:hint="eastAsia" w:ascii="仿宋" w:hAnsi="仿宋" w:eastAsia="仿宋" w:cs="仿宋"/>
          <w:sz w:val="22"/>
          <w:u w:val="single"/>
        </w:rPr>
        <w:t xml:space="preserve"> 　</w:t>
      </w:r>
      <w:r>
        <w:rPr>
          <w:rFonts w:hint="eastAsia" w:ascii="仿宋" w:hAnsi="仿宋" w:eastAsia="仿宋" w:cs="仿宋"/>
          <w:sz w:val="22"/>
        </w:rPr>
        <w:t>份，乙方</w:t>
      </w:r>
      <w:r>
        <w:rPr>
          <w:rFonts w:hint="eastAsia" w:ascii="仿宋" w:hAnsi="仿宋" w:eastAsia="仿宋" w:cs="仿宋"/>
          <w:sz w:val="22"/>
          <w:u w:val="single"/>
        </w:rPr>
        <w:t xml:space="preserve"> 　 </w:t>
      </w:r>
      <w:r>
        <w:rPr>
          <w:rFonts w:hint="eastAsia" w:ascii="仿宋" w:hAnsi="仿宋" w:eastAsia="仿宋" w:cs="仿宋"/>
          <w:sz w:val="22"/>
        </w:rPr>
        <w:t>份</w:t>
      </w:r>
      <w:bookmarkStart w:id="6" w:name="_GoBack"/>
      <w:bookmarkEnd w:id="6"/>
      <w:r>
        <w:rPr>
          <w:rFonts w:hint="eastAsia" w:ascii="仿宋" w:hAnsi="仿宋" w:eastAsia="仿宋" w:cs="仿宋"/>
          <w:sz w:val="22"/>
        </w:rPr>
        <w:t>。</w:t>
      </w:r>
    </w:p>
    <w:p w14:paraId="564AA1DB">
      <w:pPr>
        <w:pStyle w:val="8"/>
      </w:pPr>
    </w:p>
    <w:tbl>
      <w:tblPr>
        <w:tblStyle w:val="13"/>
        <w:tblW w:w="8328" w:type="dxa"/>
        <w:jc w:val="center"/>
        <w:tblLayout w:type="fixed"/>
        <w:tblCellMar>
          <w:top w:w="0" w:type="dxa"/>
          <w:left w:w="108" w:type="dxa"/>
          <w:bottom w:w="0" w:type="dxa"/>
          <w:right w:w="108" w:type="dxa"/>
        </w:tblCellMar>
      </w:tblPr>
      <w:tblGrid>
        <w:gridCol w:w="4051"/>
        <w:gridCol w:w="4277"/>
      </w:tblGrid>
      <w:tr w14:paraId="7C8C4C62">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2DE79157">
            <w:pPr>
              <w:wordWrap w:val="0"/>
              <w:topLinePunct/>
              <w:snapToGrid w:val="0"/>
              <w:spacing w:line="480" w:lineRule="auto"/>
              <w:contextualSpacing/>
              <w:jc w:val="left"/>
              <w:rPr>
                <w:rFonts w:hint="eastAsia" w:ascii="仿宋" w:hAnsi="仿宋" w:eastAsia="仿宋" w:cs="仿宋"/>
                <w:kern w:val="0"/>
                <w:sz w:val="22"/>
              </w:rPr>
            </w:pPr>
            <w:r>
              <w:rPr>
                <w:rFonts w:hint="eastAsia" w:ascii="仿宋" w:hAnsi="仿宋" w:eastAsia="仿宋" w:cs="仿宋"/>
                <w:b/>
                <w:kern w:val="0"/>
                <w:sz w:val="22"/>
              </w:rPr>
              <w:t>甲方名称：</w:t>
            </w:r>
            <w:r>
              <w:rPr>
                <w:rFonts w:hint="eastAsia" w:ascii="仿宋" w:hAnsi="仿宋" w:eastAsia="仿宋" w:cs="仿宋"/>
                <w:kern w:val="0"/>
                <w:sz w:val="22"/>
              </w:rPr>
              <w:t>（</w:t>
            </w:r>
            <w:r>
              <w:rPr>
                <w:rFonts w:hint="eastAsia" w:ascii="仿宋" w:hAnsi="仿宋" w:eastAsia="仿宋" w:cs="仿宋"/>
                <w:kern w:val="0"/>
                <w:sz w:val="22"/>
                <w:lang w:val="en-US" w:eastAsia="zh-CN"/>
              </w:rPr>
              <w:t>公章或合同章</w:t>
            </w:r>
            <w:r>
              <w:rPr>
                <w:rFonts w:hint="eastAsia" w:ascii="仿宋" w:hAnsi="仿宋" w:eastAsia="仿宋" w:cs="仿宋"/>
                <w:kern w:val="0"/>
                <w:sz w:val="22"/>
              </w:rPr>
              <w:t>）</w:t>
            </w:r>
          </w:p>
          <w:p w14:paraId="4C1D3E2C">
            <w:pPr>
              <w:wordWrap w:val="0"/>
              <w:topLinePunct/>
              <w:snapToGrid w:val="0"/>
              <w:spacing w:line="480" w:lineRule="auto"/>
              <w:contextualSpacing/>
              <w:jc w:val="left"/>
              <w:rPr>
                <w:rFonts w:ascii="仿宋" w:hAnsi="仿宋" w:eastAsia="仿宋" w:cs="仿宋"/>
                <w:b w:val="0"/>
                <w:bCs/>
                <w:sz w:val="22"/>
              </w:rPr>
            </w:pPr>
            <w:r>
              <w:rPr>
                <w:rFonts w:hint="eastAsia" w:ascii="仿宋" w:hAnsi="仿宋" w:eastAsia="仿宋" w:cs="仿宋"/>
                <w:b/>
                <w:kern w:val="0"/>
                <w:sz w:val="22"/>
              </w:rPr>
              <w:t>甲方代表：</w:t>
            </w:r>
            <w:r>
              <w:rPr>
                <w:rFonts w:hint="eastAsia" w:ascii="仿宋" w:hAnsi="仿宋" w:eastAsia="仿宋" w:cs="仿宋"/>
                <w:b w:val="0"/>
                <w:bCs/>
                <w:kern w:val="0"/>
                <w:sz w:val="22"/>
              </w:rPr>
              <w:t>（签字或签章）</w:t>
            </w:r>
          </w:p>
          <w:p w14:paraId="61201064">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甲方地址：</w:t>
            </w:r>
          </w:p>
          <w:p w14:paraId="4D7A7561">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电    话：</w:t>
            </w:r>
          </w:p>
          <w:p w14:paraId="09CF9EC9">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传    真：</w:t>
            </w:r>
          </w:p>
          <w:p w14:paraId="5FCD6B7A">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邮    编：</w:t>
            </w:r>
          </w:p>
          <w:p w14:paraId="74B0F31C">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2B59BF7F">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23160E77">
            <w:pPr>
              <w:wordWrap w:val="0"/>
              <w:topLinePunct/>
              <w:snapToGrid w:val="0"/>
              <w:spacing w:line="480" w:lineRule="auto"/>
              <w:contextualSpacing/>
              <w:jc w:val="left"/>
              <w:rPr>
                <w:rFonts w:ascii="仿宋" w:hAnsi="仿宋" w:eastAsia="仿宋" w:cs="仿宋"/>
                <w:b/>
                <w:kern w:val="0"/>
                <w:sz w:val="22"/>
              </w:rPr>
            </w:pPr>
          </w:p>
          <w:p w14:paraId="17469615">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c>
          <w:tcPr>
            <w:tcW w:w="4277" w:type="dxa"/>
          </w:tcPr>
          <w:p w14:paraId="6DF1CF17">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乙方名称：</w:t>
            </w:r>
            <w:r>
              <w:rPr>
                <w:rFonts w:hint="eastAsia" w:ascii="仿宋" w:hAnsi="仿宋" w:eastAsia="仿宋" w:cs="仿宋"/>
                <w:kern w:val="0"/>
                <w:sz w:val="22"/>
              </w:rPr>
              <w:t>（</w:t>
            </w:r>
            <w:r>
              <w:rPr>
                <w:rFonts w:hint="eastAsia" w:ascii="仿宋" w:hAnsi="仿宋" w:eastAsia="仿宋" w:cs="仿宋"/>
                <w:kern w:val="0"/>
                <w:sz w:val="22"/>
                <w:lang w:val="en-US" w:eastAsia="zh-CN"/>
              </w:rPr>
              <w:t>公章或合同章</w:t>
            </w:r>
            <w:r>
              <w:rPr>
                <w:rFonts w:hint="eastAsia" w:ascii="仿宋" w:hAnsi="仿宋" w:eastAsia="仿宋" w:cs="仿宋"/>
                <w:kern w:val="0"/>
                <w:sz w:val="22"/>
              </w:rPr>
              <w:t>）</w:t>
            </w:r>
          </w:p>
          <w:p w14:paraId="45BC0416">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乙方代表：</w:t>
            </w:r>
            <w:r>
              <w:rPr>
                <w:rFonts w:hint="eastAsia" w:ascii="仿宋" w:hAnsi="仿宋" w:eastAsia="仿宋" w:cs="仿宋"/>
                <w:b w:val="0"/>
                <w:bCs/>
                <w:kern w:val="0"/>
                <w:sz w:val="22"/>
              </w:rPr>
              <w:t>（签字或签章）</w:t>
            </w:r>
          </w:p>
          <w:p w14:paraId="4FEC9FE1">
            <w:pPr>
              <w:wordWrap w:val="0"/>
              <w:topLinePunct/>
              <w:snapToGrid w:val="0"/>
              <w:spacing w:line="480" w:lineRule="auto"/>
              <w:ind w:left="1104" w:hanging="1104" w:hangingChars="500"/>
              <w:contextualSpacing/>
              <w:jc w:val="left"/>
              <w:rPr>
                <w:rFonts w:ascii="仿宋" w:hAnsi="仿宋" w:eastAsia="仿宋" w:cs="仿宋"/>
                <w:sz w:val="22"/>
              </w:rPr>
            </w:pPr>
            <w:r>
              <w:rPr>
                <w:rFonts w:hint="eastAsia" w:ascii="仿宋" w:hAnsi="仿宋" w:eastAsia="仿宋" w:cs="仿宋"/>
                <w:b/>
                <w:sz w:val="22"/>
              </w:rPr>
              <w:t>乙方地址：</w:t>
            </w:r>
          </w:p>
          <w:p w14:paraId="760AD373">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sz w:val="22"/>
              </w:rPr>
              <w:t>电    话：</w:t>
            </w:r>
          </w:p>
          <w:p w14:paraId="329F9A19">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传    真：</w:t>
            </w:r>
          </w:p>
          <w:p w14:paraId="40C3CA2A">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邮    编：</w:t>
            </w:r>
          </w:p>
          <w:p w14:paraId="05C8876C">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21C6ECD1">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0A8B1FA8">
            <w:pPr>
              <w:wordWrap w:val="0"/>
              <w:topLinePunct/>
              <w:snapToGrid w:val="0"/>
              <w:spacing w:line="480" w:lineRule="auto"/>
              <w:ind w:left="482"/>
              <w:contextualSpacing/>
              <w:jc w:val="left"/>
              <w:rPr>
                <w:rFonts w:ascii="仿宋" w:hAnsi="仿宋" w:eastAsia="仿宋" w:cs="仿宋"/>
                <w:b/>
                <w:kern w:val="0"/>
                <w:sz w:val="22"/>
              </w:rPr>
            </w:pPr>
          </w:p>
          <w:p w14:paraId="7965C783">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r>
    </w:tbl>
    <w:p w14:paraId="6189B852">
      <w:pPr>
        <w:jc w:val="center"/>
        <w:rPr>
          <w:rFonts w:ascii="仿宋" w:hAnsi="仿宋" w:eastAsia="仿宋" w:cs="仿宋"/>
          <w:b/>
          <w:bCs/>
          <w:sz w:val="22"/>
        </w:rPr>
      </w:pPr>
      <w:r>
        <w:br w:type="page"/>
      </w:r>
      <w:r>
        <w:rPr>
          <w:rFonts w:hint="eastAsia" w:ascii="仿宋" w:hAnsi="仿宋" w:eastAsia="仿宋" w:cs="仿宋"/>
          <w:b/>
          <w:sz w:val="36"/>
          <w:szCs w:val="36"/>
        </w:rPr>
        <w:t>合同通用条款（参考文本）</w:t>
      </w:r>
    </w:p>
    <w:p w14:paraId="2947346F">
      <w:pPr>
        <w:spacing w:line="360" w:lineRule="auto"/>
        <w:ind w:firstLine="442" w:firstLineChars="200"/>
        <w:rPr>
          <w:rFonts w:ascii="仿宋" w:hAnsi="仿宋" w:eastAsia="仿宋" w:cs="仿宋"/>
          <w:b/>
          <w:sz w:val="22"/>
        </w:rPr>
      </w:pPr>
      <w:r>
        <w:rPr>
          <w:rFonts w:hint="eastAsia" w:ascii="仿宋" w:hAnsi="仿宋" w:eastAsia="仿宋" w:cs="仿宋"/>
          <w:b/>
          <w:sz w:val="22"/>
        </w:rPr>
        <w:t>1.定义</w:t>
      </w:r>
    </w:p>
    <w:p w14:paraId="035DD334">
      <w:pPr>
        <w:spacing w:line="360" w:lineRule="auto"/>
        <w:ind w:firstLine="440" w:firstLineChars="200"/>
        <w:rPr>
          <w:rFonts w:ascii="仿宋" w:hAnsi="仿宋" w:eastAsia="仿宋" w:cs="仿宋"/>
          <w:sz w:val="22"/>
        </w:rPr>
      </w:pPr>
      <w:r>
        <w:rPr>
          <w:rFonts w:hint="eastAsia" w:ascii="仿宋" w:hAnsi="仿宋" w:eastAsia="仿宋" w:cs="仿宋"/>
          <w:sz w:val="22"/>
        </w:rPr>
        <w:t>本合同下列术语应解释为：</w:t>
      </w:r>
    </w:p>
    <w:p w14:paraId="1ED2AC1A">
      <w:pPr>
        <w:spacing w:line="360" w:lineRule="auto"/>
        <w:ind w:firstLine="440" w:firstLineChars="200"/>
        <w:rPr>
          <w:rFonts w:ascii="仿宋" w:hAnsi="仿宋" w:eastAsia="仿宋" w:cs="仿宋"/>
          <w:sz w:val="22"/>
        </w:rPr>
      </w:pPr>
      <w:r>
        <w:rPr>
          <w:rFonts w:hint="eastAsia" w:ascii="仿宋" w:hAnsi="仿宋" w:eastAsia="仿宋" w:cs="仿宋"/>
          <w:sz w:val="22"/>
        </w:rPr>
        <w:t>1.1“合同”指甲乙双方签署的、合同格式中载明的甲乙双方所达成的协议，包括所有的附件、附录和上述文件所提到的构成合同的所有文件；</w:t>
      </w:r>
    </w:p>
    <w:p w14:paraId="096C1F4E">
      <w:pPr>
        <w:spacing w:line="360" w:lineRule="auto"/>
        <w:ind w:firstLine="440" w:firstLineChars="200"/>
        <w:rPr>
          <w:rFonts w:ascii="仿宋" w:hAnsi="仿宋" w:eastAsia="仿宋" w:cs="仿宋"/>
          <w:sz w:val="22"/>
        </w:rPr>
      </w:pPr>
      <w:r>
        <w:rPr>
          <w:rFonts w:hint="eastAsia" w:ascii="仿宋" w:hAnsi="仿宋" w:eastAsia="仿宋" w:cs="仿宋"/>
          <w:sz w:val="22"/>
        </w:rPr>
        <w:t>1.2“合同价”指根据合同规定乙方在正确地完全履行合同义务后甲方应支付给乙方的价格；</w:t>
      </w:r>
    </w:p>
    <w:p w14:paraId="46C8B1D7">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1.3“服务”指根据合同规定乙方承担的与项目有关的服务，比如运输、保险、安装调试、系统升级、技术培训和合同中规定乙方应承担的其它义务；</w:t>
      </w:r>
    </w:p>
    <w:p w14:paraId="376DD64D">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1.4“货物”指乙方根据合同规定须向甲方提供的货物、设备、材料、备件、工具和／或其它材料。</w:t>
      </w:r>
    </w:p>
    <w:p w14:paraId="01A37FC9">
      <w:pPr>
        <w:wordWrap w:val="0"/>
        <w:topLinePunct/>
        <w:spacing w:line="360" w:lineRule="auto"/>
        <w:ind w:firstLine="442" w:firstLineChars="200"/>
        <w:jc w:val="left"/>
        <w:rPr>
          <w:rFonts w:ascii="仿宋" w:hAnsi="仿宋" w:eastAsia="仿宋" w:cs="仿宋"/>
          <w:b/>
          <w:sz w:val="22"/>
        </w:rPr>
      </w:pPr>
      <w:r>
        <w:rPr>
          <w:rFonts w:hint="eastAsia" w:ascii="仿宋" w:hAnsi="仿宋" w:eastAsia="仿宋" w:cs="仿宋"/>
          <w:b/>
          <w:sz w:val="22"/>
        </w:rPr>
        <w:t>2.适用性</w:t>
      </w:r>
    </w:p>
    <w:p w14:paraId="3591E35D">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2.1本合同条款适用于没有被本项目磋商文件规定条款、成交人响应文件承诺条款所取代的范围。</w:t>
      </w:r>
    </w:p>
    <w:p w14:paraId="0807D3F7">
      <w:pPr>
        <w:wordWrap w:val="0"/>
        <w:topLinePunct/>
        <w:spacing w:line="360" w:lineRule="auto"/>
        <w:ind w:firstLine="433" w:firstLineChars="196"/>
        <w:jc w:val="left"/>
        <w:rPr>
          <w:rFonts w:ascii="仿宋" w:hAnsi="仿宋" w:eastAsia="仿宋" w:cs="仿宋"/>
          <w:b/>
          <w:kern w:val="0"/>
          <w:sz w:val="22"/>
        </w:rPr>
      </w:pPr>
      <w:r>
        <w:rPr>
          <w:rFonts w:hint="eastAsia" w:ascii="仿宋" w:hAnsi="仿宋" w:eastAsia="仿宋" w:cs="仿宋"/>
          <w:b/>
          <w:kern w:val="0"/>
          <w:sz w:val="22"/>
        </w:rPr>
        <w:t>3.标准</w:t>
      </w:r>
    </w:p>
    <w:p w14:paraId="79EF10E7">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3.1若乙方在其响应文件中承诺的技术标准优于本项目磋商文件所述标准的，按响应文件的承诺执行。如果没有提及适用标准，则应符合中华人民共和国有关机构发布的最新版本的标准。乙方应保证，甲方使用服务或货物的任何一部分时，免受第三方提出的侵犯其专利权、商标权、著作权或其它知识产权的起诉。</w:t>
      </w:r>
    </w:p>
    <w:p w14:paraId="147065B5">
      <w:pPr>
        <w:wordWrap w:val="0"/>
        <w:topLinePunct/>
        <w:spacing w:line="360" w:lineRule="auto"/>
        <w:ind w:firstLine="442" w:firstLineChars="200"/>
        <w:jc w:val="left"/>
        <w:rPr>
          <w:rFonts w:ascii="仿宋" w:hAnsi="仿宋" w:eastAsia="仿宋" w:cs="仿宋"/>
          <w:b/>
          <w:sz w:val="22"/>
        </w:rPr>
      </w:pPr>
      <w:bookmarkStart w:id="3" w:name="_Toc167715237"/>
      <w:bookmarkStart w:id="4" w:name="_Toc167714040"/>
      <w:bookmarkStart w:id="5" w:name="_Toc167712842"/>
      <w:r>
        <w:rPr>
          <w:rFonts w:hint="eastAsia" w:ascii="仿宋" w:hAnsi="仿宋" w:eastAsia="仿宋" w:cs="仿宋"/>
          <w:b/>
          <w:sz w:val="22"/>
        </w:rPr>
        <w:t>4.</w:t>
      </w:r>
      <w:bookmarkEnd w:id="3"/>
      <w:bookmarkEnd w:id="4"/>
      <w:bookmarkEnd w:id="5"/>
      <w:r>
        <w:rPr>
          <w:rFonts w:hint="eastAsia" w:ascii="仿宋" w:hAnsi="仿宋" w:eastAsia="仿宋" w:cs="仿宋"/>
          <w:b/>
          <w:sz w:val="22"/>
        </w:rPr>
        <w:t xml:space="preserve">质量保证 </w:t>
      </w:r>
    </w:p>
    <w:p w14:paraId="20D723DD">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rPr>
      </w:pPr>
      <w:r>
        <w:rPr>
          <w:rFonts w:hint="eastAsia" w:ascii="仿宋" w:hAnsi="仿宋" w:eastAsia="仿宋" w:cs="仿宋"/>
          <w:sz w:val="22"/>
          <w:szCs w:val="24"/>
        </w:rPr>
        <w:t>4.1标的内容</w:t>
      </w:r>
    </w:p>
    <w:p w14:paraId="6A0C643F">
      <w:pPr>
        <w:wordWrap w:val="0"/>
        <w:topLinePunct/>
        <w:snapToGrid w:val="0"/>
        <w:spacing w:line="360" w:lineRule="auto"/>
        <w:ind w:firstLine="440" w:firstLineChars="200"/>
        <w:outlineLvl w:val="9"/>
        <w:rPr>
          <w:rFonts w:hint="eastAsia" w:ascii="仿宋" w:hAnsi="仿宋" w:eastAsia="仿宋" w:cs="仿宋"/>
          <w:color w:val="000000"/>
          <w:kern w:val="44"/>
          <w:sz w:val="22"/>
          <w:lang w:val="en-US" w:eastAsia="zh-CN"/>
        </w:rPr>
      </w:pPr>
      <w:r>
        <w:rPr>
          <w:rFonts w:hint="eastAsia" w:ascii="仿宋" w:hAnsi="仿宋" w:eastAsia="仿宋" w:cs="仿宋"/>
          <w:color w:val="000000"/>
          <w:kern w:val="44"/>
          <w:sz w:val="22"/>
          <w:lang w:val="en-US" w:eastAsia="zh-CN"/>
        </w:rPr>
        <w:t>1）服务范围：</w:t>
      </w:r>
      <w:r>
        <w:rPr>
          <w:rFonts w:hint="eastAsia" w:ascii="仿宋" w:hAnsi="仿宋" w:eastAsia="仿宋" w:cs="仿宋"/>
          <w:color w:val="000000"/>
          <w:kern w:val="44"/>
          <w:sz w:val="22"/>
          <w:u w:val="single"/>
          <w:lang w:val="en-US" w:eastAsia="zh-CN"/>
        </w:rPr>
        <w:t xml:space="preserve">               </w:t>
      </w:r>
      <w:r>
        <w:rPr>
          <w:rFonts w:hint="eastAsia" w:ascii="仿宋" w:hAnsi="仿宋" w:eastAsia="仿宋" w:cs="仿宋"/>
          <w:color w:val="000000"/>
          <w:kern w:val="44"/>
          <w:sz w:val="22"/>
          <w:lang w:val="en-US" w:eastAsia="zh-CN"/>
        </w:rPr>
        <w:t>。</w:t>
      </w:r>
    </w:p>
    <w:p w14:paraId="2FF60F52">
      <w:pPr>
        <w:wordWrap w:val="0"/>
        <w:topLinePunct/>
        <w:snapToGrid w:val="0"/>
        <w:spacing w:line="360" w:lineRule="auto"/>
        <w:ind w:firstLine="440" w:firstLineChars="200"/>
        <w:outlineLvl w:val="9"/>
        <w:rPr>
          <w:rFonts w:hint="eastAsia" w:ascii="仿宋" w:hAnsi="仿宋" w:eastAsia="仿宋" w:cs="仿宋"/>
          <w:color w:val="000000"/>
          <w:kern w:val="44"/>
          <w:sz w:val="22"/>
          <w:lang w:val="en-US" w:eastAsia="zh-CN"/>
        </w:rPr>
      </w:pPr>
      <w:r>
        <w:rPr>
          <w:rFonts w:hint="eastAsia" w:ascii="仿宋" w:hAnsi="仿宋" w:eastAsia="仿宋" w:cs="仿宋"/>
          <w:color w:val="000000"/>
          <w:kern w:val="44"/>
          <w:sz w:val="22"/>
          <w:lang w:val="en-US" w:eastAsia="zh-CN"/>
        </w:rPr>
        <w:t>2）服务要求：</w:t>
      </w:r>
      <w:r>
        <w:rPr>
          <w:rFonts w:hint="eastAsia" w:ascii="仿宋" w:hAnsi="仿宋" w:eastAsia="仿宋" w:cs="仿宋"/>
          <w:color w:val="000000"/>
          <w:kern w:val="44"/>
          <w:sz w:val="22"/>
          <w:u w:val="single"/>
          <w:lang w:val="en-US" w:eastAsia="zh-CN"/>
        </w:rPr>
        <w:t xml:space="preserve">               </w:t>
      </w:r>
      <w:r>
        <w:rPr>
          <w:rFonts w:hint="eastAsia" w:ascii="仿宋" w:hAnsi="仿宋" w:eastAsia="仿宋" w:cs="仿宋"/>
          <w:color w:val="000000"/>
          <w:kern w:val="44"/>
          <w:sz w:val="22"/>
          <w:lang w:val="en-US" w:eastAsia="zh-CN"/>
        </w:rPr>
        <w:t>。</w:t>
      </w:r>
    </w:p>
    <w:p w14:paraId="24F3BF0B">
      <w:pPr>
        <w:wordWrap w:val="0"/>
        <w:topLinePunct/>
        <w:snapToGrid w:val="0"/>
        <w:spacing w:line="360" w:lineRule="auto"/>
        <w:ind w:firstLine="440" w:firstLineChars="200"/>
        <w:outlineLvl w:val="9"/>
        <w:rPr>
          <w:rFonts w:hint="default" w:ascii="仿宋" w:hAnsi="仿宋" w:eastAsia="仿宋" w:cs="仿宋"/>
          <w:color w:val="000000"/>
          <w:kern w:val="44"/>
          <w:sz w:val="22"/>
          <w:lang w:val="en-US" w:eastAsia="zh-CN"/>
        </w:rPr>
      </w:pPr>
      <w:r>
        <w:rPr>
          <w:rFonts w:hint="eastAsia" w:ascii="仿宋" w:hAnsi="仿宋" w:eastAsia="仿宋" w:cs="仿宋"/>
          <w:color w:val="000000"/>
          <w:kern w:val="44"/>
          <w:sz w:val="22"/>
          <w:lang w:val="en-US" w:eastAsia="zh-CN"/>
        </w:rPr>
        <w:t>3）服务时间：</w:t>
      </w:r>
      <w:r>
        <w:rPr>
          <w:rFonts w:hint="eastAsia" w:ascii="仿宋" w:hAnsi="仿宋" w:eastAsia="仿宋" w:cs="仿宋"/>
          <w:color w:val="000000"/>
          <w:kern w:val="44"/>
          <w:sz w:val="22"/>
          <w:u w:val="single"/>
          <w:lang w:val="en-US" w:eastAsia="zh-CN"/>
        </w:rPr>
        <w:t xml:space="preserve">               </w:t>
      </w:r>
      <w:r>
        <w:rPr>
          <w:rFonts w:hint="eastAsia" w:ascii="仿宋" w:hAnsi="仿宋" w:eastAsia="仿宋" w:cs="仿宋"/>
          <w:color w:val="000000"/>
          <w:kern w:val="44"/>
          <w:sz w:val="22"/>
          <w:lang w:val="en-US" w:eastAsia="zh-CN"/>
        </w:rPr>
        <w:t>。</w:t>
      </w:r>
    </w:p>
    <w:p w14:paraId="3C251EE2">
      <w:pPr>
        <w:wordWrap w:val="0"/>
        <w:topLinePunct/>
        <w:snapToGrid w:val="0"/>
        <w:spacing w:line="360" w:lineRule="auto"/>
        <w:ind w:firstLine="440" w:firstLineChars="200"/>
        <w:outlineLvl w:val="9"/>
        <w:rPr>
          <w:rFonts w:hint="eastAsia" w:ascii="仿宋" w:hAnsi="仿宋" w:eastAsia="仿宋" w:cs="仿宋"/>
          <w:color w:val="000000"/>
          <w:kern w:val="44"/>
          <w:sz w:val="22"/>
          <w:lang w:val="en-US" w:eastAsia="zh-CN"/>
        </w:rPr>
      </w:pPr>
      <w:r>
        <w:rPr>
          <w:rFonts w:hint="eastAsia" w:ascii="仿宋" w:hAnsi="仿宋" w:eastAsia="仿宋" w:cs="仿宋"/>
          <w:color w:val="000000"/>
          <w:kern w:val="44"/>
          <w:sz w:val="22"/>
          <w:lang w:val="en-US" w:eastAsia="zh-CN"/>
        </w:rPr>
        <w:t>4）服务标准：</w:t>
      </w:r>
      <w:r>
        <w:rPr>
          <w:rFonts w:hint="eastAsia" w:ascii="仿宋" w:hAnsi="仿宋" w:eastAsia="仿宋" w:cs="仿宋"/>
          <w:color w:val="000000"/>
          <w:kern w:val="44"/>
          <w:sz w:val="22"/>
          <w:u w:val="single"/>
          <w:lang w:val="en-US" w:eastAsia="zh-CN"/>
        </w:rPr>
        <w:t xml:space="preserve">               </w:t>
      </w:r>
      <w:r>
        <w:rPr>
          <w:rFonts w:hint="eastAsia" w:ascii="仿宋" w:hAnsi="仿宋" w:eastAsia="仿宋" w:cs="仿宋"/>
          <w:color w:val="000000"/>
          <w:kern w:val="44"/>
          <w:sz w:val="22"/>
          <w:lang w:val="en-US" w:eastAsia="zh-CN"/>
        </w:rPr>
        <w:t>。</w:t>
      </w:r>
    </w:p>
    <w:p w14:paraId="1306C977">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4.2甲方有权对乙方服务进行监督，如乙方未达到服务质量标准，甲方有权进行适量赔偿或终止服务合同。</w:t>
      </w:r>
    </w:p>
    <w:p w14:paraId="63E9DCFD">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4.3在服务期内，甲方会根据国家相关法律法规、行业规范、内部规章制度及合同，对乙方工作人员在本项目中的工作进行监督，并不定期进行考核。</w:t>
      </w:r>
    </w:p>
    <w:p w14:paraId="5C40D387">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4.4甲方负责牵头成立监督小组，主要收集整理各方对本项目的意见和建议，甲方组织召开整改会议，乙方应参加并对提出问题进行整改，在会议上提出整改意见后，乙方多次落实不到位的，甲方可无条件解除采购合同。</w:t>
      </w:r>
    </w:p>
    <w:p w14:paraId="7B641D0D">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4.5甲方如遇政策性调整或其他特殊原因，直至有可能解除采购合同的情况下，可提前书面告知乙方，按照实际天数或实际工作量结算费用，甲方不承担其他违约责任，即可终止合同。</w:t>
      </w:r>
    </w:p>
    <w:p w14:paraId="01406356">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4.6乙方在服务期内，应严格遵守中华人民共和国的现行法律法规，及乙方和甲方内部的相关管理制度，并应保障制度的有效执行。</w:t>
      </w:r>
    </w:p>
    <w:p w14:paraId="1CF8AD49">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4.7乙方在服务期内，应爱护公物，合理使用设备设施。否则，因乙方服务人员使用不当而对设备设施造成损坏的，由乙方承担一切责任和经济损失。</w:t>
      </w:r>
    </w:p>
    <w:p w14:paraId="1AC321B5">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4.8乙方派驻的技术人员在服务期间，因特殊原因无法继续提供服务的，在征得甲方的同意后，由乙方及时将人员予以调配，保证工作的正常进行。新替换人员应根据相关规定做好人员备案工作。</w:t>
      </w:r>
    </w:p>
    <w:p w14:paraId="4315E68D">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4.9服务期间，乙方派出人员发生的任何意外伤害，均由乙方承担全部责任和赔偿。</w:t>
      </w:r>
    </w:p>
    <w:p w14:paraId="0037E72C">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4.10服务期间，乙方必须要按照甲方要求对于突发事件提供应急服务和保障。</w:t>
      </w:r>
    </w:p>
    <w:p w14:paraId="74AADE44">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4.11乙方除因特殊情况外，在服务过程中对甲方造成设备数据等的损坏或丢失的，甲方有权要求乙方进行适当赔偿。</w:t>
      </w:r>
    </w:p>
    <w:p w14:paraId="316B59EC">
      <w:pPr>
        <w:wordWrap w:val="0"/>
        <w:topLinePunct/>
        <w:spacing w:line="360" w:lineRule="auto"/>
        <w:jc w:val="left"/>
        <w:rPr>
          <w:rFonts w:ascii="仿宋" w:hAnsi="仿宋" w:eastAsia="仿宋" w:cs="仿宋"/>
          <w:b/>
          <w:kern w:val="0"/>
          <w:sz w:val="22"/>
          <w:highlight w:val="none"/>
        </w:rPr>
      </w:pPr>
      <w:r>
        <w:rPr>
          <w:rFonts w:hint="eastAsia" w:ascii="仿宋" w:hAnsi="仿宋" w:eastAsia="仿宋" w:cs="仿宋"/>
          <w:b/>
          <w:kern w:val="0"/>
          <w:sz w:val="22"/>
          <w:highlight w:val="none"/>
        </w:rPr>
        <w:t xml:space="preserve">    5.索赔</w:t>
      </w:r>
    </w:p>
    <w:p w14:paraId="32044B1B">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5.1如果乙方对偏差负有责任，而甲方在服务期内提出了索赔，乙方应按照甲方同意的下列一种或几种方式结合起来解决索赔事宜：</w:t>
      </w:r>
    </w:p>
    <w:p w14:paraId="575718B0">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⑴乙方同意用合同规定的货币将合同款退还给甲方，并承担由此发生的一切损失和费用，包括利息、银行手续费等其它必要费用。</w:t>
      </w:r>
    </w:p>
    <w:p w14:paraId="6B58AE51">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⑵根据服务的偏差情况、以及甲方所遭受损失的金额，经甲乙双方商定降低服务价格。</w:t>
      </w:r>
    </w:p>
    <w:p w14:paraId="11A83EC9">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5C5A3B87">
      <w:pPr>
        <w:wordWrap w:val="0"/>
        <w:topLinePunct/>
        <w:spacing w:line="360" w:lineRule="auto"/>
        <w:ind w:firstLine="442" w:firstLineChars="200"/>
        <w:jc w:val="left"/>
        <w:rPr>
          <w:rFonts w:ascii="仿宋" w:hAnsi="仿宋" w:eastAsia="仿宋" w:cs="仿宋"/>
          <w:b/>
          <w:kern w:val="0"/>
          <w:sz w:val="22"/>
          <w:highlight w:val="none"/>
        </w:rPr>
      </w:pPr>
      <w:r>
        <w:rPr>
          <w:rFonts w:hint="eastAsia" w:ascii="仿宋" w:hAnsi="仿宋" w:eastAsia="仿宋" w:cs="仿宋"/>
          <w:b/>
          <w:kern w:val="0"/>
          <w:sz w:val="22"/>
          <w:highlight w:val="none"/>
        </w:rPr>
        <w:t>6.付款及验收</w:t>
      </w:r>
    </w:p>
    <w:p w14:paraId="6B573B45">
      <w:pPr>
        <w:wordWrap w:val="0"/>
        <w:topLinePunct/>
        <w:spacing w:line="360" w:lineRule="auto"/>
        <w:ind w:firstLine="440" w:firstLineChars="200"/>
        <w:rPr>
          <w:rFonts w:hint="eastAsia" w:ascii="仿宋" w:hAnsi="仿宋" w:eastAsia="仿宋" w:cs="仿宋"/>
          <w:color w:val="auto"/>
          <w:kern w:val="0"/>
          <w:sz w:val="22"/>
          <w:highlight w:val="none"/>
        </w:rPr>
      </w:pPr>
      <w:r>
        <w:rPr>
          <w:rFonts w:hint="eastAsia" w:ascii="仿宋" w:hAnsi="仿宋" w:eastAsia="仿宋" w:cs="仿宋"/>
          <w:kern w:val="0"/>
          <w:sz w:val="22"/>
          <w:highlight w:val="none"/>
        </w:rPr>
        <w:t>6.</w:t>
      </w:r>
      <w:r>
        <w:rPr>
          <w:rFonts w:hint="eastAsia" w:ascii="仿宋" w:hAnsi="仿宋" w:eastAsia="仿宋" w:cs="仿宋"/>
          <w:kern w:val="0"/>
          <w:sz w:val="22"/>
          <w:highlight w:val="none"/>
          <w:lang w:val="en-US" w:eastAsia="zh-CN"/>
        </w:rPr>
        <w:t>1</w:t>
      </w:r>
      <w:r>
        <w:rPr>
          <w:rFonts w:hint="eastAsia" w:ascii="仿宋" w:hAnsi="仿宋" w:eastAsia="仿宋" w:cs="仿宋"/>
          <w:kern w:val="0"/>
          <w:sz w:val="22"/>
          <w:highlight w:val="none"/>
        </w:rPr>
        <w:t>支付约定：</w:t>
      </w:r>
      <w:r>
        <w:rPr>
          <w:rFonts w:hint="eastAsia" w:ascii="仿宋" w:hAnsi="仿宋" w:eastAsia="仿宋" w:cs="仿宋"/>
          <w:color w:val="000000"/>
          <w:kern w:val="44"/>
          <w:sz w:val="22"/>
          <w:u w:val="single"/>
          <w:lang w:val="en-US" w:eastAsia="zh-CN"/>
        </w:rPr>
        <w:t xml:space="preserve">               </w:t>
      </w:r>
      <w:r>
        <w:rPr>
          <w:rFonts w:hint="eastAsia" w:ascii="仿宋" w:hAnsi="仿宋" w:eastAsia="仿宋" w:cs="仿宋"/>
          <w:color w:val="000000"/>
          <w:kern w:val="44"/>
          <w:sz w:val="22"/>
          <w:lang w:val="en-US" w:eastAsia="zh-CN"/>
        </w:rPr>
        <w:t>。</w:t>
      </w:r>
    </w:p>
    <w:p w14:paraId="1ABB5DE3">
      <w:pPr>
        <w:wordWrap w:val="0"/>
        <w:topLinePunct/>
        <w:spacing w:line="360" w:lineRule="auto"/>
        <w:ind w:firstLine="440" w:firstLineChars="200"/>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6.</w:t>
      </w:r>
      <w:r>
        <w:rPr>
          <w:rFonts w:hint="eastAsia" w:ascii="仿宋" w:hAnsi="仿宋" w:eastAsia="仿宋" w:cs="仿宋"/>
          <w:color w:val="auto"/>
          <w:kern w:val="0"/>
          <w:sz w:val="22"/>
          <w:highlight w:val="none"/>
          <w:lang w:val="en-US" w:eastAsia="zh-CN"/>
        </w:rPr>
        <w:t>2</w:t>
      </w:r>
      <w:r>
        <w:rPr>
          <w:rFonts w:hint="eastAsia" w:ascii="仿宋" w:hAnsi="仿宋" w:eastAsia="仿宋" w:cs="仿宋"/>
          <w:color w:val="auto"/>
          <w:kern w:val="0"/>
          <w:sz w:val="22"/>
          <w:highlight w:val="none"/>
        </w:rPr>
        <w:t>项目验收</w:t>
      </w:r>
    </w:p>
    <w:p w14:paraId="367F2B90">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1）成果递交后，乙方向甲方提交验收申请。</w:t>
      </w:r>
    </w:p>
    <w:p w14:paraId="600C87F1">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2）甲方收到验收申请后组织验收，验收时乙方应无条件予以配合并提供验收所需的全部资料，若乙方不配合或者未履行合同约定的，甲方将拒绝验收。</w:t>
      </w:r>
    </w:p>
    <w:p w14:paraId="261E97BF">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3）验收依据：磋商文件、响应文件、合同文本、国内相应的标准、规范。</w:t>
      </w:r>
    </w:p>
    <w:p w14:paraId="66E0D1DC">
      <w:pPr>
        <w:numPr>
          <w:ilvl w:val="0"/>
          <w:numId w:val="0"/>
        </w:numPr>
        <w:wordWrap w:val="0"/>
        <w:topLinePunct/>
        <w:spacing w:line="360" w:lineRule="auto"/>
        <w:ind w:firstLine="442" w:firstLineChars="200"/>
        <w:rPr>
          <w:rFonts w:ascii="仿宋" w:hAnsi="仿宋" w:eastAsia="仿宋" w:cs="仿宋"/>
          <w:b/>
          <w:color w:val="auto"/>
          <w:kern w:val="0"/>
          <w:sz w:val="22"/>
        </w:rPr>
      </w:pPr>
      <w:r>
        <w:rPr>
          <w:rFonts w:hint="eastAsia" w:ascii="仿宋" w:hAnsi="仿宋" w:eastAsia="仿宋" w:cs="仿宋"/>
          <w:b/>
          <w:color w:val="auto"/>
          <w:kern w:val="0"/>
          <w:sz w:val="22"/>
        </w:rPr>
        <w:t>7.转包、分包</w:t>
      </w:r>
    </w:p>
    <w:p w14:paraId="120FBEA9">
      <w:pPr>
        <w:wordWrap w:val="0"/>
        <w:topLinePunct/>
        <w:spacing w:line="372" w:lineRule="auto"/>
        <w:ind w:firstLine="440" w:firstLineChars="200"/>
        <w:rPr>
          <w:rFonts w:ascii="仿宋" w:hAnsi="仿宋" w:eastAsia="仿宋" w:cs="仿宋"/>
          <w:kern w:val="0"/>
          <w:sz w:val="22"/>
        </w:rPr>
      </w:pPr>
      <w:r>
        <w:rPr>
          <w:rFonts w:hint="eastAsia" w:ascii="仿宋" w:hAnsi="仿宋" w:eastAsia="仿宋" w:cs="仿宋"/>
          <w:sz w:val="22"/>
          <w:lang w:val="en-US" w:eastAsia="zh-CN"/>
        </w:rPr>
        <w:t>7.1本项目不允许合</w:t>
      </w:r>
      <w:r>
        <w:rPr>
          <w:rFonts w:hint="eastAsia" w:ascii="仿宋" w:hAnsi="仿宋" w:eastAsia="仿宋" w:cs="仿宋"/>
          <w:sz w:val="22"/>
        </w:rPr>
        <w:t>同转包及合同分包。</w:t>
      </w:r>
    </w:p>
    <w:p w14:paraId="421DD545">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8.乙方履约延误</w:t>
      </w:r>
    </w:p>
    <w:p w14:paraId="48B3233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8.1乙方应在规定的服务期内提供服务。</w:t>
      </w:r>
    </w:p>
    <w:p w14:paraId="328AF8E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66A3F95F">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9.违约终止合同</w:t>
      </w:r>
    </w:p>
    <w:p w14:paraId="3EE2536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9.1在甲方对乙方违约而采取的任何补救措施不受影响的情况下，甲方可向乙方发出书面违约通知书，提出终止部分或全部合同：</w:t>
      </w:r>
    </w:p>
    <w:p w14:paraId="2C48971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⑴如果乙方未能在合同规定的期限内或甲方根据合同条款第8.2条的规定同意延长的期限内提供服务。</w:t>
      </w:r>
    </w:p>
    <w:p w14:paraId="35FCD69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⑵如果乙方未能履行合同规定的其它任何义务。</w:t>
      </w:r>
    </w:p>
    <w:p w14:paraId="6B52A52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⑶如果甲方认为乙方在本合同的竞争和实施过程中有腐败和欺诈行为。为此目的，定义下述条件：</w:t>
      </w:r>
    </w:p>
    <w:p w14:paraId="43D190A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“腐败行为”是指提供、给予、接受或索取任何有价值的物品来影响甲方在采购过程或合同实施过程中的行为。</w:t>
      </w:r>
    </w:p>
    <w:p w14:paraId="43E5D46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“欺诈行为”是指为了影响采购过程或合同实施过程而谎报或隐瞒事实，损害甲方利益的行为。</w:t>
      </w:r>
    </w:p>
    <w:p w14:paraId="4B085AEC">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2CC309A9">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10.不可抗力</w:t>
      </w:r>
    </w:p>
    <w:p w14:paraId="1778A75F">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437A48B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10.2受影响一方应在不可抗力事件发生后尽快用书面形式通知对方，并于不可抗力事件发生后十四（14）天内将有关当局（或有关政府部门）出具的证明文件用邮政快递或挂号信寄给对方审阅确认。一旦不可抗力事件的影响持续一百二十天（120天）以上，双方应通过友好协商在合理的时间内达成进一步履行合同的协议。</w:t>
      </w:r>
    </w:p>
    <w:p w14:paraId="3CBA84B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10.3因合同一方迟延履行合同后发生不可抗力的，不能免除迟延履行方的相应责任。</w:t>
      </w:r>
    </w:p>
    <w:p w14:paraId="57CA67F5">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11.因破产而终止合同</w:t>
      </w:r>
    </w:p>
    <w:p w14:paraId="4F4C4F7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14:paraId="7608C6B0">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12.因政策性调整而终止合同</w:t>
      </w:r>
    </w:p>
    <w:p w14:paraId="0483A2C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12.1如果发生政策性调整或其他特殊原因导致项目不再继续进行的，甲方可向乙方发出书面通知全部或部分终止合同，终止通知应明确该终止合同的原因，并明确合同终止的程度，以及终止的生效日期。</w:t>
      </w:r>
    </w:p>
    <w:p w14:paraId="7450FA0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12.2对乙方收到终止通知后三十（30）天内完成的服务，甲方应按原合同价格和条款予以接收，对于剩下的服务，甲方可：</w:t>
      </w:r>
    </w:p>
    <w:p w14:paraId="0B292FE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⑴仅对部分服务按照原来的合同价格和条款予以接受；</w:t>
      </w:r>
    </w:p>
    <w:p w14:paraId="03707CA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⑵取消对所剩服务的采购，并按双方商定的金额向乙方支付部分完成服务的费用。</w:t>
      </w:r>
    </w:p>
    <w:p w14:paraId="03D007D7">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13.争议的解决</w:t>
      </w:r>
    </w:p>
    <w:p w14:paraId="3B97C1A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13.1因执行本合同所发生的或与本合同有关的一切争议,双方应通过友好协商解决。如果协商开始后六十（60）天还不能解决，任何一方均可按中华人民共和国有关法律的规定提交仲裁。仲裁地点为甲方所在地的仲裁委员会。</w:t>
      </w:r>
    </w:p>
    <w:p w14:paraId="34D8862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13.2仲裁裁决应为最终裁决，对双方均具有约束力。</w:t>
      </w:r>
    </w:p>
    <w:p w14:paraId="3009B5C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13.3仲裁费除仲裁机关另有裁决外均应由败诉方负担。</w:t>
      </w:r>
    </w:p>
    <w:p w14:paraId="4C5C492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13.4在仲裁期间，除正在进行仲裁的部分外，本合同其它部分应继续执行。</w:t>
      </w:r>
    </w:p>
    <w:p w14:paraId="3D878E8D">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14.通知</w:t>
      </w:r>
    </w:p>
    <w:p w14:paraId="1C72BCD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14.1本合同一方给对方的通知应用书面形式送到合同专用条款中规定的对方地址，传真要经书面确认。</w:t>
      </w:r>
    </w:p>
    <w:p w14:paraId="1058928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14.2通知以送到日期或通知书的生效日期为生效日期，两者中以晚的一个日期为准。</w:t>
      </w:r>
    </w:p>
    <w:p w14:paraId="19F5D824">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15.税款</w:t>
      </w:r>
    </w:p>
    <w:p w14:paraId="27F31E9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15.1按照中华人民共和国税法和有关部门的规定，甲方需交纳的与本合同有关的一切税费均应由甲方负担。</w:t>
      </w:r>
    </w:p>
    <w:p w14:paraId="52B847C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15.2按照中华人民共和国税法和有关部门的规定，乙方需交纳的与本合同有关的一切税费均应由乙方负担。</w:t>
      </w:r>
    </w:p>
    <w:p w14:paraId="22A37BEE">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16.其他</w:t>
      </w:r>
    </w:p>
    <w:p w14:paraId="0527AC87">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kern w:val="0"/>
          <w:sz w:val="22"/>
        </w:rPr>
        <w:t>16.1</w:t>
      </w:r>
      <w:r>
        <w:rPr>
          <w:rFonts w:hint="eastAsia" w:ascii="仿宋" w:hAnsi="仿宋" w:eastAsia="仿宋" w:cs="仿宋"/>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403C95E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16.2本合同应按照中华人民共和国的现行法律进行解释。</w:t>
      </w:r>
    </w:p>
    <w:p w14:paraId="1F6E18A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16.3本合同语言为简体中文，双方交换的与合同有关的信函均按此书写。</w:t>
      </w:r>
    </w:p>
    <w:p w14:paraId="3BD86447">
      <w:pPr>
        <w:wordWrap w:val="0"/>
        <w:topLinePunct/>
        <w:spacing w:line="360" w:lineRule="auto"/>
        <w:ind w:firstLine="441"/>
        <w:jc w:val="left"/>
        <w:rPr>
          <w:rFonts w:ascii="仿宋" w:hAnsi="仿宋" w:eastAsia="仿宋" w:cs="仿宋"/>
          <w:b/>
          <w:bCs/>
          <w:sz w:val="22"/>
        </w:rPr>
      </w:pPr>
      <w:r>
        <w:rPr>
          <w:rFonts w:hint="eastAsia" w:ascii="仿宋" w:hAnsi="仿宋" w:eastAsia="仿宋" w:cs="仿宋"/>
          <w:sz w:val="22"/>
        </w:rPr>
        <w:t>16.4</w:t>
      </w:r>
      <w:r>
        <w:rPr>
          <w:rFonts w:hint="eastAsia" w:ascii="仿宋" w:hAnsi="仿宋" w:eastAsia="仿宋" w:cs="仿宋"/>
          <w:kern w:val="0"/>
          <w:sz w:val="22"/>
        </w:rPr>
        <w:t xml:space="preserve"> 除技术规范中另有规定外,计量单位均使用中华人民共和国法定计量单位。</w:t>
      </w:r>
    </w:p>
    <w:p w14:paraId="0665ABCA">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17.合同生效</w:t>
      </w:r>
    </w:p>
    <w:p w14:paraId="0729F76C">
      <w:pPr>
        <w:wordWrap w:val="0"/>
        <w:topLinePunct/>
        <w:spacing w:line="360" w:lineRule="auto"/>
        <w:ind w:firstLine="440" w:firstLineChars="200"/>
        <w:jc w:val="left"/>
      </w:pPr>
      <w:r>
        <w:rPr>
          <w:rFonts w:hint="eastAsia" w:ascii="仿宋" w:hAnsi="仿宋" w:eastAsia="仿宋" w:cs="仿宋"/>
          <w:kern w:val="0"/>
          <w:sz w:val="22"/>
        </w:rPr>
        <w:t>17.1</w:t>
      </w:r>
      <w:r>
        <w:rPr>
          <w:rFonts w:hint="eastAsia" w:ascii="仿宋" w:hAnsi="仿宋" w:eastAsia="仿宋" w:cs="仿宋"/>
          <w:sz w:val="22"/>
        </w:rPr>
        <w:t>本合同在甲乙双方盖公章后生效。</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2CC9E">
    <w:pPr>
      <w:pStyle w:val="1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76855">
    <w:pPr>
      <w:pStyle w:val="10"/>
      <w:jc w:val="center"/>
    </w:pPr>
    <w:r>
      <w:fldChar w:fldCharType="begin"/>
    </w:r>
    <w:r>
      <w:instrText xml:space="preserve">PAGE   \* MERGEFORMAT</w:instrText>
    </w:r>
    <w:r>
      <w:fldChar w:fldCharType="separate"/>
    </w:r>
    <w:r>
      <w:rPr>
        <w:lang w:val="zh-CN"/>
      </w:rP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083B4E"/>
    <w:rsid w:val="00083B4E"/>
    <w:rsid w:val="00140C97"/>
    <w:rsid w:val="002B3325"/>
    <w:rsid w:val="002D237E"/>
    <w:rsid w:val="004E3BA8"/>
    <w:rsid w:val="005A3C62"/>
    <w:rsid w:val="005B3CA9"/>
    <w:rsid w:val="006731F8"/>
    <w:rsid w:val="00892383"/>
    <w:rsid w:val="009D233C"/>
    <w:rsid w:val="00B50393"/>
    <w:rsid w:val="00CD3846"/>
    <w:rsid w:val="01276914"/>
    <w:rsid w:val="014A4B87"/>
    <w:rsid w:val="0159126E"/>
    <w:rsid w:val="028B18FB"/>
    <w:rsid w:val="02B40E52"/>
    <w:rsid w:val="07CA4C73"/>
    <w:rsid w:val="089E5BB5"/>
    <w:rsid w:val="091361A6"/>
    <w:rsid w:val="0B460AB5"/>
    <w:rsid w:val="0B770C6E"/>
    <w:rsid w:val="0D15073F"/>
    <w:rsid w:val="0D9632C2"/>
    <w:rsid w:val="0DB05957"/>
    <w:rsid w:val="0FE17119"/>
    <w:rsid w:val="102B64CB"/>
    <w:rsid w:val="10E30517"/>
    <w:rsid w:val="13135720"/>
    <w:rsid w:val="161D0664"/>
    <w:rsid w:val="16AD3796"/>
    <w:rsid w:val="17773DA4"/>
    <w:rsid w:val="1AC7103B"/>
    <w:rsid w:val="1B8F5B60"/>
    <w:rsid w:val="1CB03FE0"/>
    <w:rsid w:val="1E24026E"/>
    <w:rsid w:val="1E4276A1"/>
    <w:rsid w:val="1F811C64"/>
    <w:rsid w:val="20234AC9"/>
    <w:rsid w:val="21384EE1"/>
    <w:rsid w:val="21A34113"/>
    <w:rsid w:val="220426D8"/>
    <w:rsid w:val="25983863"/>
    <w:rsid w:val="26D93FBA"/>
    <w:rsid w:val="26FC7E22"/>
    <w:rsid w:val="283F446A"/>
    <w:rsid w:val="2B9D7E25"/>
    <w:rsid w:val="2C382FA9"/>
    <w:rsid w:val="2D2E3DCA"/>
    <w:rsid w:val="2D9E1D29"/>
    <w:rsid w:val="2E980D78"/>
    <w:rsid w:val="30C65728"/>
    <w:rsid w:val="312468F3"/>
    <w:rsid w:val="31C35697"/>
    <w:rsid w:val="324059AE"/>
    <w:rsid w:val="384B0C09"/>
    <w:rsid w:val="39581830"/>
    <w:rsid w:val="3A281202"/>
    <w:rsid w:val="3A5E4C24"/>
    <w:rsid w:val="3A9643BE"/>
    <w:rsid w:val="3B67102A"/>
    <w:rsid w:val="3B8B7064"/>
    <w:rsid w:val="3BDF1D94"/>
    <w:rsid w:val="42E24A3F"/>
    <w:rsid w:val="44AC290F"/>
    <w:rsid w:val="44F3240C"/>
    <w:rsid w:val="456678AE"/>
    <w:rsid w:val="4A276F43"/>
    <w:rsid w:val="4B100E76"/>
    <w:rsid w:val="4B2E419E"/>
    <w:rsid w:val="4D514410"/>
    <w:rsid w:val="4DFA3FFE"/>
    <w:rsid w:val="50033FD9"/>
    <w:rsid w:val="50243DC2"/>
    <w:rsid w:val="520A4C53"/>
    <w:rsid w:val="52FB3500"/>
    <w:rsid w:val="53901E9A"/>
    <w:rsid w:val="543C37B8"/>
    <w:rsid w:val="54A31759"/>
    <w:rsid w:val="54B020C8"/>
    <w:rsid w:val="54F46459"/>
    <w:rsid w:val="5746022C"/>
    <w:rsid w:val="590450F1"/>
    <w:rsid w:val="59C75EEA"/>
    <w:rsid w:val="59DE4FE1"/>
    <w:rsid w:val="5BB73D3C"/>
    <w:rsid w:val="5BB85B7F"/>
    <w:rsid w:val="5BFB1E7B"/>
    <w:rsid w:val="5CEE19DF"/>
    <w:rsid w:val="5D721F1B"/>
    <w:rsid w:val="5E684112"/>
    <w:rsid w:val="5EBF5E8A"/>
    <w:rsid w:val="60EF513B"/>
    <w:rsid w:val="612E68F7"/>
    <w:rsid w:val="63381C06"/>
    <w:rsid w:val="63E47698"/>
    <w:rsid w:val="64AF5EF8"/>
    <w:rsid w:val="659D0C50"/>
    <w:rsid w:val="6AE368FC"/>
    <w:rsid w:val="6B5D7577"/>
    <w:rsid w:val="6CD27AE2"/>
    <w:rsid w:val="6F1F4484"/>
    <w:rsid w:val="703432DF"/>
    <w:rsid w:val="74546174"/>
    <w:rsid w:val="748F2143"/>
    <w:rsid w:val="74A72748"/>
    <w:rsid w:val="75061B64"/>
    <w:rsid w:val="754B7577"/>
    <w:rsid w:val="755F79D6"/>
    <w:rsid w:val="757F36C5"/>
    <w:rsid w:val="75D339A9"/>
    <w:rsid w:val="762A53DF"/>
    <w:rsid w:val="79246A5D"/>
    <w:rsid w:val="79654980"/>
    <w:rsid w:val="7BA24762"/>
    <w:rsid w:val="7BDC53CD"/>
    <w:rsid w:val="7D16490F"/>
    <w:rsid w:val="7DA43CC8"/>
    <w:rsid w:val="7E6B7088"/>
    <w:rsid w:val="7EC30AC6"/>
    <w:rsid w:val="7F0C421B"/>
    <w:rsid w:val="7FCD3F61"/>
    <w:rsid w:val="7FE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5"/>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6"/>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7"/>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8"/>
    <w:autoRedefine/>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19"/>
    <w:autoRedefine/>
    <w:qFormat/>
    <w:uiPriority w:val="0"/>
    <w:pPr>
      <w:keepNext/>
      <w:keepLines/>
      <w:spacing w:before="280" w:after="290" w:line="376" w:lineRule="auto"/>
      <w:ind w:left="1008" w:hanging="1008"/>
      <w:outlineLvl w:val="4"/>
    </w:pPr>
    <w:rPr>
      <w:b/>
      <w:bCs/>
      <w:sz w:val="28"/>
      <w:szCs w:val="28"/>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8">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9">
    <w:name w:val="Plain Text"/>
    <w:basedOn w:val="1"/>
    <w:autoRedefine/>
    <w:qFormat/>
    <w:uiPriority w:val="0"/>
    <w:rPr>
      <w:rFonts w:ascii="宋体" w:hAnsi="Courier New" w:cs="Courier New"/>
      <w:szCs w:val="21"/>
    </w:rPr>
  </w:style>
  <w:style w:type="paragraph" w:styleId="10">
    <w:name w:val="footer"/>
    <w:basedOn w:val="1"/>
    <w:link w:val="21"/>
    <w:autoRedefine/>
    <w:qFormat/>
    <w:uiPriority w:val="99"/>
    <w:pPr>
      <w:tabs>
        <w:tab w:val="center" w:pos="4153"/>
        <w:tab w:val="right" w:pos="8306"/>
      </w:tabs>
      <w:snapToGrid w:val="0"/>
      <w:jc w:val="left"/>
    </w:pPr>
    <w:rPr>
      <w:sz w:val="18"/>
    </w:rPr>
  </w:style>
  <w:style w:type="paragraph" w:styleId="11">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5">
    <w:name w:val="标题 1 Char"/>
    <w:link w:val="3"/>
    <w:autoRedefine/>
    <w:qFormat/>
    <w:uiPriority w:val="0"/>
    <w:rPr>
      <w:rFonts w:ascii="Calibri" w:hAnsi="Calibri" w:eastAsia="宋体" w:cs="Times New Roman"/>
      <w:b/>
      <w:bCs/>
      <w:kern w:val="44"/>
      <w:sz w:val="44"/>
      <w:szCs w:val="44"/>
    </w:rPr>
  </w:style>
  <w:style w:type="character" w:customStyle="1" w:styleId="16">
    <w:name w:val="标题 2 Char"/>
    <w:link w:val="4"/>
    <w:autoRedefine/>
    <w:qFormat/>
    <w:uiPriority w:val="0"/>
    <w:rPr>
      <w:rFonts w:ascii="Cambria" w:hAnsi="Cambria" w:eastAsia="宋体" w:cs="Times New Roman"/>
      <w:b/>
      <w:bCs/>
      <w:sz w:val="32"/>
      <w:szCs w:val="32"/>
    </w:rPr>
  </w:style>
  <w:style w:type="character" w:customStyle="1" w:styleId="17">
    <w:name w:val="标题 3 Char"/>
    <w:link w:val="5"/>
    <w:autoRedefine/>
    <w:qFormat/>
    <w:uiPriority w:val="0"/>
    <w:rPr>
      <w:rFonts w:ascii="Calibri" w:hAnsi="Calibri" w:eastAsia="宋体" w:cs="Times New Roman"/>
      <w:b/>
      <w:bCs/>
      <w:sz w:val="32"/>
      <w:szCs w:val="32"/>
    </w:rPr>
  </w:style>
  <w:style w:type="character" w:customStyle="1" w:styleId="18">
    <w:name w:val="标题 4 Char"/>
    <w:link w:val="6"/>
    <w:autoRedefine/>
    <w:semiHidden/>
    <w:qFormat/>
    <w:uiPriority w:val="9"/>
    <w:rPr>
      <w:rFonts w:ascii="Cambria" w:hAnsi="Cambria" w:eastAsia="宋体" w:cs="Times New Roman"/>
      <w:b/>
      <w:bCs/>
      <w:sz w:val="28"/>
      <w:szCs w:val="28"/>
    </w:rPr>
  </w:style>
  <w:style w:type="character" w:customStyle="1" w:styleId="19">
    <w:name w:val="标题 5 Char"/>
    <w:link w:val="7"/>
    <w:autoRedefine/>
    <w:qFormat/>
    <w:uiPriority w:val="9"/>
    <w:rPr>
      <w:rFonts w:ascii="Calibri" w:hAnsi="Calibri" w:eastAsia="宋体" w:cs="Times New Roman"/>
      <w:b/>
      <w:bCs/>
      <w:sz w:val="28"/>
      <w:szCs w:val="28"/>
    </w:rPr>
  </w:style>
  <w:style w:type="character" w:customStyle="1" w:styleId="20">
    <w:name w:val="页眉 Char"/>
    <w:link w:val="11"/>
    <w:autoRedefine/>
    <w:qFormat/>
    <w:uiPriority w:val="0"/>
    <w:rPr>
      <w:kern w:val="2"/>
      <w:sz w:val="18"/>
      <w:szCs w:val="18"/>
    </w:rPr>
  </w:style>
  <w:style w:type="character" w:customStyle="1" w:styleId="21">
    <w:name w:val="页脚 Char"/>
    <w:link w:val="10"/>
    <w:autoRedefine/>
    <w:qFormat/>
    <w:uiPriority w:val="99"/>
    <w:rPr>
      <w:kern w:val="2"/>
      <w:sz w:val="1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3836</Words>
  <Characters>4004</Characters>
  <Lines>31</Lines>
  <Paragraphs>8</Paragraphs>
  <TotalTime>0</TotalTime>
  <ScaleCrop>false</ScaleCrop>
  <LinksUpToDate>false</LinksUpToDate>
  <CharactersWithSpaces>4341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2023-07-28T11:43:00Z</dcterms:created>
  <dc:creator>rjw27</dc:creator>
  <cp:lastModifiedBy>WPS</cp:lastModifiedBy>
  <dcterms:modified xsi:type="dcterms:W3CDTF">2025-11-18T03:16:56Z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2718753F85D54C66A1C5401EE61E2BC6_13</vt:lpwstr>
  </property>
  <property fmtid="{D5CDD505-2E9C-101B-9397-08002B2CF9AE}" pid="4" name="KSOTemplateDocerSaveRecord">
    <vt:lpwstr>eyJoZGlkIjoiMmYwYjJjNTNkMTk3NzUyZWFmNmMyZTVmN2NlYzljZWYiLCJ1c2VySWQiOiI1MjQzMjIyNDcifQ==</vt:lpwstr>
  </property>
</Properties>
</file>