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E49C1">
      <w:pPr>
        <w:kinsoku w:val="0"/>
        <w:jc w:val="center"/>
        <w:rPr>
          <w:rFonts w:hint="eastAsia"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供货合同</w:t>
      </w:r>
    </w:p>
    <w:p w14:paraId="7D24D375">
      <w:pPr>
        <w:kinsoku w:val="0"/>
        <w:jc w:val="center"/>
        <w:rPr>
          <w:rFonts w:hint="eastAsia" w:hAnsi="宋体" w:eastAsia="宋体"/>
          <w:b/>
          <w:bCs/>
          <w:sz w:val="28"/>
          <w:szCs w:val="28"/>
          <w:lang w:eastAsia="zh-CN"/>
        </w:rPr>
      </w:pPr>
      <w:bookmarkStart w:id="2" w:name="_GoBack"/>
      <w:r>
        <w:rPr>
          <w:rFonts w:hint="eastAsia" w:hAnsi="宋体"/>
          <w:b/>
          <w:bCs/>
          <w:sz w:val="28"/>
          <w:szCs w:val="28"/>
          <w:lang w:eastAsia="zh-CN"/>
        </w:rPr>
        <w:t>（</w:t>
      </w:r>
      <w:r>
        <w:rPr>
          <w:rFonts w:hint="eastAsia" w:hAnsi="宋体"/>
          <w:b/>
          <w:bCs/>
          <w:sz w:val="28"/>
          <w:szCs w:val="28"/>
          <w:lang w:val="en-US" w:eastAsia="zh-CN"/>
        </w:rPr>
        <w:t>仅供参考，以实际签订为准</w:t>
      </w:r>
      <w:r>
        <w:rPr>
          <w:rFonts w:hint="eastAsia" w:hAnsi="宋体"/>
          <w:b/>
          <w:bCs/>
          <w:sz w:val="28"/>
          <w:szCs w:val="28"/>
          <w:lang w:eastAsia="zh-CN"/>
        </w:rPr>
        <w:t>）</w:t>
      </w:r>
    </w:p>
    <w:bookmarkEnd w:id="2"/>
    <w:p w14:paraId="4C323E20">
      <w:pPr>
        <w:kinsoku w:val="0"/>
        <w:spacing w:line="440" w:lineRule="exact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甲方：陕西科技大学</w:t>
      </w:r>
    </w:p>
    <w:p w14:paraId="709D1F29">
      <w:pPr>
        <w:pStyle w:val="3"/>
        <w:spacing w:line="440" w:lineRule="exact"/>
        <w:ind w:firstLine="480" w:firstLineChars="200"/>
        <w:rPr>
          <w:rFonts w:hAnsi="宋体" w:cs="仿宋"/>
          <w:sz w:val="24"/>
        </w:rPr>
      </w:pPr>
      <w:r>
        <w:rPr>
          <w:rFonts w:hint="eastAsia" w:hAnsi="宋体" w:cs="仿宋"/>
          <w:sz w:val="24"/>
        </w:rPr>
        <w:t xml:space="preserve">乙方：  </w:t>
      </w:r>
    </w:p>
    <w:p w14:paraId="474920D1">
      <w:pPr>
        <w:kinsoku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根据《中华人民共和国政府采购法》、《中华人民共和国民法典》等法律法规，甲方通过</w:t>
      </w:r>
      <w:r>
        <w:rPr>
          <w:rFonts w:hint="eastAsia" w:hAnsi="宋体" w:cs="仿宋"/>
          <w:sz w:val="24"/>
          <w:lang w:val="en-US" w:eastAsia="zh-CN"/>
        </w:rPr>
        <w:t>单一来源</w:t>
      </w:r>
      <w:r>
        <w:rPr>
          <w:rFonts w:hint="eastAsia" w:ascii="宋体" w:hAnsi="宋体" w:cs="仿宋"/>
          <w:sz w:val="24"/>
        </w:rPr>
        <w:t>，选定乙方为中标单位。甲、乙双方在平等基础上协商一致，达成如下合同条款：</w:t>
      </w:r>
    </w:p>
    <w:p w14:paraId="19DB5E34">
      <w:pPr>
        <w:kinsoku w:val="0"/>
        <w:spacing w:line="400" w:lineRule="exact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一、</w:t>
      </w:r>
      <w:r>
        <w:rPr>
          <w:rFonts w:hint="eastAsia" w:ascii="宋体" w:hAnsi="宋体" w:cs="仿宋"/>
          <w:b/>
          <w:sz w:val="24"/>
        </w:rPr>
        <w:t>合同内容             包号：</w:t>
      </w:r>
      <w:r>
        <w:rPr>
          <w:rFonts w:ascii="宋体" w:hAnsi="宋体" w:cs="仿宋"/>
          <w:b/>
          <w:sz w:val="24"/>
        </w:rPr>
        <w:t xml:space="preserve">  </w:t>
      </w:r>
      <w:r>
        <w:rPr>
          <w:rFonts w:hint="eastAsia" w:ascii="宋体" w:hAnsi="宋体" w:cs="仿宋"/>
          <w:b/>
          <w:sz w:val="24"/>
        </w:rPr>
        <w:t xml:space="preserve">            价格单位：元</w:t>
      </w:r>
    </w:p>
    <w:tbl>
      <w:tblPr>
        <w:tblStyle w:val="7"/>
        <w:tblW w:w="8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496"/>
        <w:gridCol w:w="992"/>
        <w:gridCol w:w="1276"/>
        <w:gridCol w:w="1559"/>
        <w:gridCol w:w="854"/>
        <w:gridCol w:w="855"/>
        <w:gridCol w:w="873"/>
      </w:tblGrid>
      <w:tr w14:paraId="334C6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Align w:val="center"/>
          </w:tcPr>
          <w:p w14:paraId="786B5748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序号</w:t>
            </w:r>
          </w:p>
        </w:tc>
        <w:tc>
          <w:tcPr>
            <w:tcW w:w="1496" w:type="dxa"/>
            <w:vAlign w:val="center"/>
          </w:tcPr>
          <w:p w14:paraId="043EE676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设备名称</w:t>
            </w:r>
          </w:p>
        </w:tc>
        <w:tc>
          <w:tcPr>
            <w:tcW w:w="992" w:type="dxa"/>
            <w:vAlign w:val="center"/>
          </w:tcPr>
          <w:p w14:paraId="299B503F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型号</w:t>
            </w:r>
          </w:p>
        </w:tc>
        <w:tc>
          <w:tcPr>
            <w:tcW w:w="1276" w:type="dxa"/>
            <w:vAlign w:val="center"/>
          </w:tcPr>
          <w:p w14:paraId="5D22B8C3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生产厂家</w:t>
            </w:r>
          </w:p>
        </w:tc>
        <w:tc>
          <w:tcPr>
            <w:tcW w:w="1559" w:type="dxa"/>
            <w:vAlign w:val="center"/>
          </w:tcPr>
          <w:p w14:paraId="7F74AE0C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数量</w:t>
            </w:r>
          </w:p>
        </w:tc>
        <w:tc>
          <w:tcPr>
            <w:tcW w:w="854" w:type="dxa"/>
            <w:vAlign w:val="center"/>
          </w:tcPr>
          <w:p w14:paraId="5E0567DA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单价</w:t>
            </w:r>
          </w:p>
        </w:tc>
        <w:tc>
          <w:tcPr>
            <w:tcW w:w="855" w:type="dxa"/>
            <w:vAlign w:val="center"/>
          </w:tcPr>
          <w:p w14:paraId="08841468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总价</w:t>
            </w:r>
          </w:p>
        </w:tc>
        <w:tc>
          <w:tcPr>
            <w:tcW w:w="873" w:type="dxa"/>
            <w:vAlign w:val="center"/>
          </w:tcPr>
          <w:p w14:paraId="33200A7F">
            <w:pPr>
              <w:spacing w:line="400" w:lineRule="exact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备注</w:t>
            </w:r>
          </w:p>
        </w:tc>
      </w:tr>
      <w:tr w14:paraId="6DE77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578" w:type="dxa"/>
            <w:vAlign w:val="center"/>
          </w:tcPr>
          <w:p w14:paraId="50CCFFDB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1</w:t>
            </w:r>
          </w:p>
        </w:tc>
        <w:tc>
          <w:tcPr>
            <w:tcW w:w="1496" w:type="dxa"/>
            <w:vAlign w:val="center"/>
          </w:tcPr>
          <w:p w14:paraId="7B721E30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D26EF8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C2F1146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50475D0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6D67BEF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796A7814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677715F5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233F1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exact"/>
          <w:jc w:val="center"/>
        </w:trPr>
        <w:tc>
          <w:tcPr>
            <w:tcW w:w="578" w:type="dxa"/>
            <w:vAlign w:val="center"/>
          </w:tcPr>
          <w:p w14:paraId="6AACF247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2</w:t>
            </w:r>
          </w:p>
        </w:tc>
        <w:tc>
          <w:tcPr>
            <w:tcW w:w="1496" w:type="dxa"/>
            <w:vAlign w:val="center"/>
          </w:tcPr>
          <w:p w14:paraId="7B70C11F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025A8C7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682C608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2F29AE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3EFC8FF9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693F7F34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3E48EA2C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7A445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Align w:val="center"/>
          </w:tcPr>
          <w:p w14:paraId="748F850C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3</w:t>
            </w:r>
          </w:p>
        </w:tc>
        <w:tc>
          <w:tcPr>
            <w:tcW w:w="1496" w:type="dxa"/>
            <w:vAlign w:val="center"/>
          </w:tcPr>
          <w:p w14:paraId="1536E725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DD6A8F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BA6E0CF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A6ABE8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19F528A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77D4F159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701E6FB2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0B94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Align w:val="center"/>
          </w:tcPr>
          <w:p w14:paraId="33072F7D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4</w:t>
            </w:r>
          </w:p>
        </w:tc>
        <w:tc>
          <w:tcPr>
            <w:tcW w:w="1496" w:type="dxa"/>
            <w:vAlign w:val="center"/>
          </w:tcPr>
          <w:p w14:paraId="7553EFCE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E1C3423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5A5A44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8C5C632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2F1F2BC3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6A2AC47F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1B6CC89D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2DD05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578" w:type="dxa"/>
            <w:vAlign w:val="center"/>
          </w:tcPr>
          <w:p w14:paraId="087ED002">
            <w:pPr>
              <w:adjustRightInd w:val="0"/>
              <w:snapToGrid w:val="0"/>
              <w:jc w:val="center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5</w:t>
            </w:r>
          </w:p>
        </w:tc>
        <w:tc>
          <w:tcPr>
            <w:tcW w:w="1496" w:type="dxa"/>
            <w:vAlign w:val="center"/>
          </w:tcPr>
          <w:p w14:paraId="105BC8AB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04CE801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BCD0F6A">
            <w:pPr>
              <w:spacing w:line="360" w:lineRule="auto"/>
              <w:jc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2E7026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5D8491E7">
            <w:pPr>
              <w:pStyle w:val="3"/>
              <w:spacing w:line="360" w:lineRule="auto"/>
              <w:jc w:val="center"/>
              <w:rPr>
                <w:rFonts w:hAnsi="宋体" w:cs="仿宋"/>
                <w:sz w:val="24"/>
              </w:rPr>
            </w:pPr>
          </w:p>
        </w:tc>
        <w:tc>
          <w:tcPr>
            <w:tcW w:w="855" w:type="dxa"/>
            <w:vAlign w:val="center"/>
          </w:tcPr>
          <w:p w14:paraId="50F1A4E7">
            <w:pPr>
              <w:widowControl/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  <w:tc>
          <w:tcPr>
            <w:tcW w:w="873" w:type="dxa"/>
            <w:vAlign w:val="center"/>
          </w:tcPr>
          <w:p w14:paraId="573A10EF">
            <w:pPr>
              <w:jc w:val="center"/>
              <w:textAlignment w:val="center"/>
              <w:rPr>
                <w:rFonts w:ascii="宋体" w:hAnsi="宋体" w:cs="仿宋"/>
                <w:sz w:val="24"/>
              </w:rPr>
            </w:pPr>
          </w:p>
        </w:tc>
      </w:tr>
      <w:tr w14:paraId="60F45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2074" w:type="dxa"/>
            <w:gridSpan w:val="2"/>
            <w:vAlign w:val="center"/>
          </w:tcPr>
          <w:p w14:paraId="16F0E9BF">
            <w:pPr>
              <w:adjustRightInd w:val="0"/>
              <w:snapToGrid w:val="0"/>
              <w:jc w:val="center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总计（人民币/元）</w:t>
            </w:r>
          </w:p>
        </w:tc>
        <w:tc>
          <w:tcPr>
            <w:tcW w:w="6409" w:type="dxa"/>
            <w:gridSpan w:val="6"/>
            <w:vAlign w:val="center"/>
          </w:tcPr>
          <w:p w14:paraId="42E002FC">
            <w:pPr>
              <w:adjustRightInd w:val="0"/>
              <w:snapToGrid w:val="0"/>
              <w:rPr>
                <w:rFonts w:ascii="宋体" w:hAnsi="宋体" w:cs="仿宋"/>
                <w:b/>
                <w:sz w:val="24"/>
              </w:rPr>
            </w:pPr>
            <w:r>
              <w:rPr>
                <w:rFonts w:hint="eastAsia" w:ascii="宋体" w:hAnsi="宋体" w:cs="仿宋"/>
                <w:b/>
                <w:sz w:val="24"/>
              </w:rPr>
              <w:t>￥:</w:t>
            </w:r>
            <w:r>
              <w:rPr>
                <w:rFonts w:ascii="宋体" w:hAnsi="宋体" w:cs="仿宋"/>
                <w:b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b/>
                <w:sz w:val="24"/>
              </w:rPr>
              <w:t xml:space="preserve">元    （大写） </w:t>
            </w:r>
            <w:r>
              <w:rPr>
                <w:rFonts w:ascii="宋体" w:hAnsi="宋体" w:cs="仿宋"/>
                <w:b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b/>
                <w:sz w:val="24"/>
              </w:rPr>
              <w:t>元整</w:t>
            </w:r>
          </w:p>
        </w:tc>
      </w:tr>
    </w:tbl>
    <w:p w14:paraId="67F7FEAB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（详细参数用附件说明）</w:t>
      </w:r>
    </w:p>
    <w:p w14:paraId="01ED8C2C">
      <w:pPr>
        <w:wordWrap w:val="0"/>
        <w:topLinePunct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6E5C7E78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二、合同价格</w:t>
      </w:r>
    </w:p>
    <w:p w14:paraId="076A7982">
      <w:pPr>
        <w:kinsoku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合同总价：人民币大写：</w:t>
      </w:r>
      <w:r>
        <w:rPr>
          <w:rFonts w:hint="eastAsia" w:ascii="宋体" w:hAnsi="宋体" w:cs="仿宋"/>
          <w:b/>
          <w:sz w:val="24"/>
          <w:u w:val="single"/>
        </w:rPr>
        <w:t xml:space="preserve">  </w:t>
      </w:r>
      <w:r>
        <w:rPr>
          <w:rFonts w:ascii="宋体" w:hAnsi="宋体" w:cs="仿宋"/>
          <w:b/>
          <w:sz w:val="24"/>
          <w:u w:val="single"/>
        </w:rPr>
        <w:t xml:space="preserve">  </w:t>
      </w:r>
      <w:r>
        <w:rPr>
          <w:rFonts w:hint="eastAsia" w:ascii="宋体" w:hAnsi="宋体" w:cs="仿宋"/>
          <w:b/>
          <w:sz w:val="24"/>
          <w:u w:val="single"/>
        </w:rPr>
        <w:t xml:space="preserve">        元整</w:t>
      </w:r>
      <w:r>
        <w:rPr>
          <w:rFonts w:hint="eastAsia" w:ascii="宋体" w:hAnsi="宋体" w:cs="仿宋"/>
          <w:b/>
          <w:sz w:val="24"/>
        </w:rPr>
        <w:t>；</w:t>
      </w:r>
      <w:r>
        <w:rPr>
          <w:rFonts w:hint="eastAsia" w:ascii="宋体" w:hAnsi="宋体" w:cs="仿宋"/>
          <w:sz w:val="24"/>
        </w:rPr>
        <w:t>￥</w:t>
      </w:r>
      <w:r>
        <w:rPr>
          <w:rFonts w:hint="eastAsia" w:ascii="宋体" w:hAnsi="宋体" w:cs="仿宋"/>
          <w:sz w:val="24"/>
          <w:u w:val="single"/>
        </w:rPr>
        <w:t xml:space="preserve"> </w:t>
      </w:r>
      <w:r>
        <w:rPr>
          <w:rFonts w:ascii="宋体" w:hAnsi="宋体" w:cs="仿宋"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  <w:u w:val="single"/>
        </w:rPr>
        <w:t xml:space="preserve"> .00</w:t>
      </w:r>
      <w:r>
        <w:rPr>
          <w:rFonts w:hint="eastAsia" w:ascii="宋体" w:hAnsi="宋体" w:cs="仿宋"/>
          <w:b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</w:rPr>
        <w:t>元。</w:t>
      </w:r>
    </w:p>
    <w:p w14:paraId="7043BA0E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ascii="宋体" w:hAnsi="宋体" w:cs="仿宋"/>
          <w:sz w:val="24"/>
        </w:rPr>
        <w:t>一切费用。</w:t>
      </w:r>
    </w:p>
    <w:p w14:paraId="1B90BF32">
      <w:pPr>
        <w:wordWrap w:val="0"/>
        <w:topLinePunct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三、款项支付</w:t>
      </w:r>
    </w:p>
    <w:p w14:paraId="6EB43A79">
      <w:pPr>
        <w:wordWrap w:val="0"/>
        <w:topLinePunct/>
        <w:spacing w:line="360" w:lineRule="auto"/>
        <w:ind w:firstLine="480" w:firstLineChars="200"/>
        <w:rPr>
          <w:rFonts w:hint="eastAsia" w:ascii="宋体" w:hAnsi="宋体" w:cs="仿宋"/>
          <w:sz w:val="24"/>
        </w:rPr>
      </w:pPr>
      <w:r>
        <w:rPr>
          <w:rFonts w:hint="eastAsia" w:hAnsi="宋体" w:cs="仿宋"/>
          <w:sz w:val="24"/>
          <w:lang w:eastAsia="zh-CN"/>
        </w:rPr>
        <w:t>（</w:t>
      </w:r>
      <w:r>
        <w:rPr>
          <w:rFonts w:hint="eastAsia" w:hAnsi="宋体" w:cs="仿宋"/>
          <w:sz w:val="24"/>
          <w:lang w:val="en-US" w:eastAsia="zh-CN"/>
        </w:rPr>
        <w:t>1</w:t>
      </w:r>
      <w:r>
        <w:rPr>
          <w:rFonts w:hint="eastAsia" w:hAnsi="宋体" w:cs="仿宋"/>
          <w:sz w:val="24"/>
          <w:lang w:eastAsia="zh-CN"/>
        </w:rPr>
        <w:t>）</w:t>
      </w:r>
      <w:r>
        <w:rPr>
          <w:rFonts w:hint="eastAsia" w:ascii="宋体" w:hAnsi="宋体" w:cs="仿宋"/>
          <w:sz w:val="24"/>
        </w:rPr>
        <w:t>发票在货到验收合格后由中标人开具给采购人。</w:t>
      </w:r>
    </w:p>
    <w:p w14:paraId="56FADB81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采购人收到中标人开具的全额增值税专用发票（电子、纸质发票均可，纸质发票须包含发票联、抵扣联）后及时向中标人支付合同总价款的100%。</w:t>
      </w:r>
    </w:p>
    <w:p w14:paraId="5270F4DE">
      <w:pPr>
        <w:wordWrap w:val="0"/>
        <w:topLinePunct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（2）签订合同前，乙方应缴纳合同金额5%的履约保证金。项目验收合格后，甲方一次性无息退还5%的履约保证金。</w:t>
      </w:r>
    </w:p>
    <w:p w14:paraId="3319F77E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四、交货条件</w:t>
      </w:r>
    </w:p>
    <w:p w14:paraId="54848E6F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1、交货地点：陕西省西安市未央区陕西科技大学内指定地点。</w:t>
      </w:r>
    </w:p>
    <w:p w14:paraId="6A2E835F">
      <w:pPr>
        <w:kinsoku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2、交货日期：双方签字盖章后合同生效，合同生效后</w:t>
      </w:r>
      <w:r>
        <w:rPr>
          <w:rFonts w:ascii="宋体" w:hAnsi="宋体" w:cs="仿宋"/>
          <w:sz w:val="24"/>
          <w:u w:val="single"/>
        </w:rPr>
        <w:t xml:space="preserve">     </w:t>
      </w:r>
      <w:r>
        <w:rPr>
          <w:rFonts w:hint="eastAsia" w:ascii="宋体" w:hAnsi="宋体" w:cs="仿宋"/>
          <w:sz w:val="24"/>
          <w:u w:val="single"/>
        </w:rPr>
        <w:t>个</w:t>
      </w:r>
      <w:r>
        <w:rPr>
          <w:rFonts w:hint="eastAsia" w:ascii="宋体" w:hAnsi="宋体" w:cs="仿宋"/>
          <w:sz w:val="24"/>
        </w:rPr>
        <w:t>日历日内完成交货。</w:t>
      </w:r>
    </w:p>
    <w:p w14:paraId="1AF736FB">
      <w:pPr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五、运输方式：</w:t>
      </w:r>
      <w:r>
        <w:rPr>
          <w:rFonts w:hint="eastAsia" w:ascii="宋体" w:hAnsi="宋体" w:cs="仿宋"/>
          <w:sz w:val="24"/>
        </w:rPr>
        <w:t>根据产品特性，由乙方在保证产品质量的前提下，自行选择运输及包装方式，发生的一切费用全部由乙方承担。</w:t>
      </w:r>
    </w:p>
    <w:p w14:paraId="307BC088">
      <w:pPr>
        <w:adjustRightInd w:val="0"/>
        <w:snapToGrid w:val="0"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六、质量保证</w:t>
      </w:r>
    </w:p>
    <w:p w14:paraId="03B47B5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1、乙方提供的产品必须满足招标文件及合同的技术参数要求。</w:t>
      </w:r>
    </w:p>
    <w:p w14:paraId="1B3FCAE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660C25AE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3、乙方保证所提供的设备质量可靠、进货渠道正规、配置合理、技术性能完全满足招标文件要求。</w:t>
      </w:r>
    </w:p>
    <w:p w14:paraId="4E432EDE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4、乙方应随产品提供检验报告等相关材料。</w:t>
      </w:r>
    </w:p>
    <w:p w14:paraId="23B2E57C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sz w:val="24"/>
        </w:rPr>
        <w:t>5、设备</w:t>
      </w:r>
      <w:r>
        <w:rPr>
          <w:rFonts w:hint="eastAsia" w:ascii="宋体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581103C8">
      <w:pPr>
        <w:adjustRightInd w:val="0"/>
        <w:snapToGrid w:val="0"/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七、质保期与承诺</w:t>
      </w:r>
    </w:p>
    <w:p w14:paraId="0953104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  <w:u w:val="single"/>
        </w:rPr>
      </w:pPr>
      <w:r>
        <w:rPr>
          <w:rFonts w:hint="eastAsia" w:ascii="宋体" w:hAnsi="宋体" w:cs="仿宋"/>
          <w:sz w:val="24"/>
        </w:rPr>
        <w:t>1、设备的质保期为设备验收合格后</w:t>
      </w:r>
      <w:r>
        <w:rPr>
          <w:rFonts w:hint="eastAsia" w:ascii="宋体" w:hAnsi="宋体" w:cs="仿宋"/>
          <w:sz w:val="24"/>
          <w:u w:val="single"/>
        </w:rPr>
        <w:t xml:space="preserve">  </w:t>
      </w:r>
      <w:r>
        <w:rPr>
          <w:rFonts w:ascii="宋体" w:hAnsi="宋体" w:cs="仿宋"/>
          <w:sz w:val="24"/>
          <w:u w:val="single"/>
        </w:rPr>
        <w:t xml:space="preserve"> 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年。</w:t>
      </w:r>
    </w:p>
    <w:p w14:paraId="40CEC26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bCs/>
          <w:sz w:val="24"/>
        </w:rPr>
      </w:pPr>
      <w:r>
        <w:rPr>
          <w:rFonts w:hint="eastAsia" w:ascii="宋体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E6D6EE4">
      <w:pPr>
        <w:adjustRightInd w:val="0"/>
        <w:snapToGrid w:val="0"/>
        <w:spacing w:line="360" w:lineRule="auto"/>
        <w:ind w:firstLine="359" w:firstLineChars="149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八、安装、调试及技术服务</w:t>
      </w:r>
    </w:p>
    <w:p w14:paraId="0319AF76">
      <w:pPr>
        <w:spacing w:line="360" w:lineRule="auto"/>
        <w:ind w:firstLine="496" w:firstLineChars="207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1、技术资料包括：出厂检测报告、产品使用说明书、合格证等其它相关资料。</w:t>
      </w:r>
    </w:p>
    <w:p w14:paraId="441B80F6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043F39E9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3、安装调试完成后，产品的性能、稳定性等未达到招标文件要求，甲方有权拒绝验收。</w:t>
      </w:r>
    </w:p>
    <w:p w14:paraId="1FD81B21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4、技术培训</w:t>
      </w:r>
    </w:p>
    <w:p w14:paraId="744DF9C0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1）内容：包括设备原理、使用操作、保养维修技术等，使受训人员达到独立使用、熟练操作的程度。</w:t>
      </w:r>
    </w:p>
    <w:p w14:paraId="3E1ED640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2）根据实际需要培训主要操作人员。</w:t>
      </w:r>
    </w:p>
    <w:p w14:paraId="00F2BECF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3）时间：在收到甲方通知后一周内安排。</w:t>
      </w:r>
    </w:p>
    <w:p w14:paraId="5F4CC167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4）所有培训费用（含交通费、住宿等费用）由乙方承担。</w:t>
      </w:r>
    </w:p>
    <w:p w14:paraId="536BF1A5">
      <w:pPr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5）投标文件里有其他相关说明或承诺的，应该按投标文件执行。</w:t>
      </w:r>
    </w:p>
    <w:p w14:paraId="71219277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5、服务承诺：按投标文件中的服务承诺执行。</w:t>
      </w:r>
    </w:p>
    <w:p w14:paraId="634A27B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6、安装调试过程中出现的安全责任问题由乙方全权负责，若造成损失由乙方负责赔偿。</w:t>
      </w:r>
    </w:p>
    <w:p w14:paraId="14BC3887">
      <w:pPr>
        <w:spacing w:line="360" w:lineRule="auto"/>
        <w:ind w:firstLine="532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九、设备验收</w:t>
      </w:r>
    </w:p>
    <w:p w14:paraId="2E88A73C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1、设备到货后，乙方负责安装调试，达到正常运行条件后书面通知甲方验收。</w:t>
      </w:r>
    </w:p>
    <w:p w14:paraId="444BB9DB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2、安装完成后应提供详细的安装报告，并详细记录各种指示的实测数据。</w:t>
      </w:r>
    </w:p>
    <w:p w14:paraId="7B71A062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3、提供完整的操作手册和安装、调试、维修手册；提供制造厂家的检验测试报告或设备出厂检测报告。</w:t>
      </w:r>
    </w:p>
    <w:p w14:paraId="254438C8">
      <w:pPr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4、甲方根据合同要求对设备进行验收、确认设备的产地、规格、型号和数量。验收依据为</w:t>
      </w:r>
      <w:bookmarkStart w:id="0" w:name="_Toc337393760"/>
      <w:r>
        <w:rPr>
          <w:rFonts w:hint="eastAsia" w:ascii="宋体" w:hAnsi="宋体" w:cs="仿宋"/>
          <w:sz w:val="24"/>
        </w:rPr>
        <w:t>本合同文本、招投标文件和国内相应的标准、规范</w:t>
      </w:r>
      <w:bookmarkEnd w:id="0"/>
      <w:bookmarkStart w:id="1" w:name="_Toc337393761"/>
      <w:r>
        <w:rPr>
          <w:rFonts w:hint="eastAsia" w:ascii="宋体" w:hAnsi="宋体" w:cs="仿宋"/>
          <w:sz w:val="24"/>
        </w:rPr>
        <w:t>。</w:t>
      </w:r>
      <w:bookmarkEnd w:id="1"/>
    </w:p>
    <w:p w14:paraId="7335B760">
      <w:pPr>
        <w:spacing w:line="360" w:lineRule="auto"/>
        <w:ind w:firstLine="480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sz w:val="24"/>
        </w:rPr>
        <w:t>5、验收合格后，填写设备验收单，并向甲方提交设备所包含的所有资料，以便使用单位日后管理和维护。</w:t>
      </w:r>
    </w:p>
    <w:p w14:paraId="1F58874D">
      <w:pPr>
        <w:tabs>
          <w:tab w:val="left" w:pos="5355"/>
        </w:tabs>
        <w:spacing w:line="360" w:lineRule="auto"/>
        <w:ind w:firstLine="506" w:firstLineChars="21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十、违约责任：</w:t>
      </w:r>
    </w:p>
    <w:p w14:paraId="46D7318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1、按《中华人民共和国民法典》中的相关条款执行。</w:t>
      </w:r>
    </w:p>
    <w:p w14:paraId="38E49657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2、若乙方出现不能供货等违约情况，甲方将不退合同金额5%的履约保证金。</w:t>
      </w:r>
    </w:p>
    <w:p w14:paraId="4183E5B9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56AAF2D4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4、因供货期迟延的，乙方按照每天1‰向甲方承担违约责任。</w:t>
      </w:r>
    </w:p>
    <w:p w14:paraId="7789C98B">
      <w:pPr>
        <w:adjustRightInd w:val="0"/>
        <w:snapToGrid w:val="0"/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10289B1C">
      <w:pPr>
        <w:tabs>
          <w:tab w:val="left" w:pos="5355"/>
        </w:tabs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十一、合同争议的解决：</w:t>
      </w:r>
    </w:p>
    <w:p w14:paraId="2E402799">
      <w:pPr>
        <w:tabs>
          <w:tab w:val="left" w:pos="5355"/>
        </w:tabs>
        <w:spacing w:line="360" w:lineRule="auto"/>
        <w:ind w:firstLine="480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sz w:val="24"/>
        </w:rPr>
        <w:t>合同一经签订，不得随意变更、中止或终止。对确需变更、调整或者中止、终止合同的，应按规定履行相应的手续。</w:t>
      </w:r>
    </w:p>
    <w:p w14:paraId="124F4C54">
      <w:pPr>
        <w:tabs>
          <w:tab w:val="left" w:pos="5355"/>
        </w:tabs>
        <w:spacing w:line="360" w:lineRule="auto"/>
        <w:ind w:firstLine="480" w:firstLineChars="20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合同执行中发生争议的，甲、乙双方应协商解决，协商达不成一致时，可向甲方所在地人民法院提请诉讼。</w:t>
      </w:r>
    </w:p>
    <w:p w14:paraId="7FE02446">
      <w:pPr>
        <w:tabs>
          <w:tab w:val="left" w:pos="5355"/>
        </w:tabs>
        <w:spacing w:line="360" w:lineRule="auto"/>
        <w:ind w:firstLine="482" w:firstLineChars="200"/>
        <w:rPr>
          <w:rFonts w:ascii="宋体" w:hAnsi="宋体" w:cs="仿宋"/>
          <w:b/>
          <w:sz w:val="24"/>
        </w:rPr>
      </w:pPr>
      <w:r>
        <w:rPr>
          <w:rFonts w:hint="eastAsia" w:ascii="宋体" w:hAnsi="宋体" w:cs="仿宋"/>
          <w:b/>
          <w:sz w:val="24"/>
        </w:rPr>
        <w:t>十二、其它事项</w:t>
      </w:r>
    </w:p>
    <w:p w14:paraId="0F4E961E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1、甲、乙双方作为合同执行的主体，有义务及时完全履行合同。招标代理机构监督履行。</w:t>
      </w:r>
    </w:p>
    <w:p w14:paraId="4072016D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2、甲方使用部门代表学校签署合同，并随时监督合同履行情况。</w:t>
      </w:r>
    </w:p>
    <w:p w14:paraId="02A449D1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3、合同未尽事宜，由甲、乙双方协商，协商方案作为本合同不可分割的组成部分，与本合同具有同等法律效力。</w:t>
      </w:r>
    </w:p>
    <w:p w14:paraId="5DC99ACD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4、招标文件和乙方的投标文件以及合同附件均为合同不可分割的部分。</w:t>
      </w:r>
    </w:p>
    <w:p w14:paraId="3CC636D3">
      <w:pPr>
        <w:adjustRightInd w:val="0"/>
        <w:snapToGrid w:val="0"/>
        <w:spacing w:line="360" w:lineRule="auto"/>
        <w:ind w:firstLine="600" w:firstLineChars="25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>5、合同一式柒份，甲方持伍份、乙方执壹份，招标代理机构壹份。双方签字盖章后生效，合同执行完毕自动失效（合同的服务承诺长期有效）。</w:t>
      </w:r>
    </w:p>
    <w:p w14:paraId="0DB6C16E">
      <w:pPr>
        <w:tabs>
          <w:tab w:val="left" w:pos="5355"/>
        </w:tabs>
        <w:spacing w:line="360" w:lineRule="auto"/>
        <w:ind w:firstLine="480"/>
        <w:rPr>
          <w:rFonts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6、使用单位收货、验货人员：________电话：_______ </w:t>
      </w:r>
    </w:p>
    <w:tbl>
      <w:tblPr>
        <w:tblStyle w:val="7"/>
        <w:tblW w:w="8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8"/>
        <w:gridCol w:w="4438"/>
      </w:tblGrid>
      <w:tr w14:paraId="46EEB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1BE4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甲  方：</w:t>
            </w:r>
            <w:r>
              <w:rPr>
                <w:rFonts w:hint="eastAsia" w:ascii="宋体" w:hAnsi="宋体" w:cs="仿宋"/>
                <w:sz w:val="24"/>
              </w:rPr>
              <w:t>陕西科技大学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EBFE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乙  方：</w:t>
            </w:r>
            <w:r>
              <w:rPr>
                <w:rFonts w:hint="eastAsia" w:ascii="宋体" w:hAnsi="宋体" w:cs="仿宋"/>
                <w:sz w:val="24"/>
              </w:rPr>
              <w:t xml:space="preserve"> </w:t>
            </w:r>
          </w:p>
        </w:tc>
      </w:tr>
      <w:tr w14:paraId="639B2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2702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地　址：陕西省西安市未央大学园区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618B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地　址： </w:t>
            </w:r>
          </w:p>
        </w:tc>
      </w:tr>
      <w:tr w14:paraId="728A0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BAB4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代理人：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20B0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代理人： </w:t>
            </w:r>
            <w:r>
              <w:rPr>
                <w:rFonts w:ascii="宋体" w:hAnsi="宋体" w:cs="仿宋"/>
                <w:sz w:val="24"/>
              </w:rPr>
              <w:t xml:space="preserve"> </w:t>
            </w:r>
          </w:p>
        </w:tc>
      </w:tr>
      <w:tr w14:paraId="24077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69CAE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6000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技术确认：</w:t>
            </w:r>
          </w:p>
        </w:tc>
      </w:tr>
      <w:tr w14:paraId="4C67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9FCD07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1174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联系电话：</w:t>
            </w:r>
          </w:p>
        </w:tc>
      </w:tr>
      <w:tr w14:paraId="52504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4EFB0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开户行：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中国银行西安浐灞区支行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ABF0A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 xml:space="preserve">开户行：  </w:t>
            </w:r>
          </w:p>
        </w:tc>
      </w:tr>
      <w:tr w14:paraId="1ED9F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CC3F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hint="eastAsia" w:ascii="宋体" w:hAnsi="宋体" w:cs="仿宋"/>
                <w:color w:val="000000"/>
                <w:sz w:val="24"/>
              </w:rPr>
              <w:t>1028 8745 5445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86F2E">
            <w:pPr>
              <w:tabs>
                <w:tab w:val="left" w:pos="5355"/>
              </w:tabs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账号：</w:t>
            </w:r>
            <w:r>
              <w:rPr>
                <w:rFonts w:ascii="宋体" w:hAnsi="宋体" w:cs="仿宋"/>
                <w:sz w:val="24"/>
              </w:rPr>
              <w:t xml:space="preserve"> </w:t>
            </w:r>
          </w:p>
        </w:tc>
      </w:tr>
      <w:tr w14:paraId="0D3DD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B0FA8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税号：12610000435630669J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8E0C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税号：</w:t>
            </w:r>
          </w:p>
        </w:tc>
      </w:tr>
      <w:tr w14:paraId="465EC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12AF5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ascii="宋体" w:hAnsi="宋体" w:cs="仿宋"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  <w:tc>
          <w:tcPr>
            <w:tcW w:w="4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7C14F">
            <w:pPr>
              <w:spacing w:line="336" w:lineRule="auto"/>
              <w:rPr>
                <w:rFonts w:ascii="宋体" w:hAnsi="宋体" w:cs="仿宋"/>
                <w:sz w:val="24"/>
              </w:rPr>
            </w:pPr>
            <w:r>
              <w:rPr>
                <w:rFonts w:hint="eastAsia" w:ascii="宋体" w:hAnsi="宋体" w:cs="仿宋"/>
                <w:sz w:val="24"/>
              </w:rPr>
              <w:t>日期：</w:t>
            </w:r>
            <w:r>
              <w:rPr>
                <w:rFonts w:ascii="宋体" w:hAnsi="宋体" w:cs="仿宋"/>
                <w:sz w:val="24"/>
              </w:rPr>
              <w:t xml:space="preserve">   </w:t>
            </w:r>
            <w:r>
              <w:rPr>
                <w:rFonts w:hint="eastAsia" w:ascii="宋体" w:hAnsi="宋体" w:cs="仿宋"/>
                <w:sz w:val="24"/>
              </w:rPr>
              <w:t>年     月     日</w:t>
            </w:r>
          </w:p>
        </w:tc>
      </w:tr>
    </w:tbl>
    <w:p w14:paraId="090E237B">
      <w:pPr>
        <w:pStyle w:val="11"/>
        <w:rPr>
          <w:rFonts w:hint="default"/>
        </w:rPr>
      </w:pPr>
    </w:p>
    <w:p w14:paraId="7BD4F293">
      <w:pPr>
        <w:widowControl/>
        <w:wordWrap/>
        <w:jc w:val="lef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48DE7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23D99C4">
                <w:pPr>
                  <w:pStyle w:val="5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JhMWI3NGJiYWY1M2I2N2YyZjJlMjEzNjIzYzA1MjAifQ=="/>
  </w:docVars>
  <w:rsids>
    <w:rsidRoot w:val="0D5B3EF9"/>
    <w:rsid w:val="00436308"/>
    <w:rsid w:val="00774C3D"/>
    <w:rsid w:val="008820E0"/>
    <w:rsid w:val="00F5147D"/>
    <w:rsid w:val="04513ED4"/>
    <w:rsid w:val="055230CB"/>
    <w:rsid w:val="07DC1A8C"/>
    <w:rsid w:val="0A423E84"/>
    <w:rsid w:val="0D5B3EF9"/>
    <w:rsid w:val="0EE572E4"/>
    <w:rsid w:val="10AB5D44"/>
    <w:rsid w:val="12DE366B"/>
    <w:rsid w:val="144715F3"/>
    <w:rsid w:val="1D7F40C7"/>
    <w:rsid w:val="1EC20A38"/>
    <w:rsid w:val="27E17771"/>
    <w:rsid w:val="28353D1B"/>
    <w:rsid w:val="29616F9E"/>
    <w:rsid w:val="2A2E6D38"/>
    <w:rsid w:val="2ADA0893"/>
    <w:rsid w:val="2B446BBF"/>
    <w:rsid w:val="2C42092E"/>
    <w:rsid w:val="2F5E5C39"/>
    <w:rsid w:val="336C5B8D"/>
    <w:rsid w:val="35511609"/>
    <w:rsid w:val="39390CFD"/>
    <w:rsid w:val="39960E0E"/>
    <w:rsid w:val="39F65D97"/>
    <w:rsid w:val="3B223EA3"/>
    <w:rsid w:val="3BDF2D1B"/>
    <w:rsid w:val="3F885185"/>
    <w:rsid w:val="415D64C5"/>
    <w:rsid w:val="455841FB"/>
    <w:rsid w:val="462000BB"/>
    <w:rsid w:val="52B82B6D"/>
    <w:rsid w:val="56237128"/>
    <w:rsid w:val="57082FC5"/>
    <w:rsid w:val="58B239E4"/>
    <w:rsid w:val="59045FDE"/>
    <w:rsid w:val="5B4D3D68"/>
    <w:rsid w:val="5B7377AF"/>
    <w:rsid w:val="5E10464A"/>
    <w:rsid w:val="60243452"/>
    <w:rsid w:val="64843DDE"/>
    <w:rsid w:val="669057FF"/>
    <w:rsid w:val="68BF3E02"/>
    <w:rsid w:val="6A94481C"/>
    <w:rsid w:val="6AC32DFA"/>
    <w:rsid w:val="6E8D3319"/>
    <w:rsid w:val="705F7900"/>
    <w:rsid w:val="7246502C"/>
    <w:rsid w:val="75050347"/>
    <w:rsid w:val="79DA56DC"/>
    <w:rsid w:val="7B8A5263"/>
    <w:rsid w:val="7BD777AE"/>
    <w:rsid w:val="7D80535C"/>
    <w:rsid w:val="7FD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wordWrap/>
      <w:autoSpaceDE/>
      <w:autoSpaceDN/>
      <w:ind w:firstLine="420" w:firstLineChars="200"/>
    </w:pPr>
    <w:rPr>
      <w:rFonts w:ascii="Times New Roman"/>
      <w:sz w:val="21"/>
    </w:rPr>
  </w:style>
  <w:style w:type="paragraph" w:styleId="3">
    <w:name w:val="Plain Text"/>
    <w:basedOn w:val="1"/>
    <w:next w:val="4"/>
    <w:qFormat/>
    <w:uiPriority w:val="99"/>
    <w:pPr>
      <w:spacing w:line="324" w:lineRule="auto"/>
    </w:pPr>
    <w:rPr>
      <w:rFonts w:ascii="宋体" w:hAnsi="Courier New" w:cs="Times New Roman"/>
      <w:kern w:val="0"/>
    </w:rPr>
  </w:style>
  <w:style w:type="paragraph" w:styleId="4">
    <w:name w:val="toc 9"/>
    <w:basedOn w:val="1"/>
    <w:next w:val="1"/>
    <w:qFormat/>
    <w:uiPriority w:val="0"/>
    <w:pPr>
      <w:ind w:left="3360" w:leftChars="160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autoRedefine/>
    <w:qFormat/>
    <w:uiPriority w:val="0"/>
    <w:rPr>
      <w:rFonts w:ascii="宋体"/>
      <w:kern w:val="2"/>
      <w:sz w:val="18"/>
      <w:szCs w:val="18"/>
      <w:lang w:eastAsia="ko-KR"/>
    </w:rPr>
  </w:style>
  <w:style w:type="character" w:customStyle="1" w:styleId="10">
    <w:name w:val="页脚 Char"/>
    <w:basedOn w:val="8"/>
    <w:link w:val="5"/>
    <w:autoRedefine/>
    <w:qFormat/>
    <w:uiPriority w:val="0"/>
    <w:rPr>
      <w:rFonts w:ascii="宋体"/>
      <w:kern w:val="2"/>
      <w:sz w:val="18"/>
      <w:szCs w:val="18"/>
      <w:lang w:eastAsia="ko-KR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2190</Words>
  <Characters>2238</Characters>
  <Lines>20</Lines>
  <Paragraphs>5</Paragraphs>
  <TotalTime>1</TotalTime>
  <ScaleCrop>false</ScaleCrop>
  <LinksUpToDate>false</LinksUpToDate>
  <CharactersWithSpaces>2350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2019-03-19T08:49:00Z</dcterms:created>
  <dc:creator>涅槃</dc:creator>
  <cp:lastModifiedBy>卓佲</cp:lastModifiedBy>
  <cp:lastPrinted>2022-06-28T01:04:00Z</cp:lastPrinted>
  <dcterms:modified xsi:type="dcterms:W3CDTF">2025-11-14T08:31:06Z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9ADB5990154C437FB1C5D6C96F7C65FC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