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版本号：KY2025-1-111420251117001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2026年回馈彩民新春套装项目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KY2025-1-1114</w:t>
      </w:r>
      <w:r>
        <w:br/>
      </w:r>
      <w:r>
        <w:br/>
      </w:r>
      <w:r>
        <w:br/>
      </w:r>
    </w:p>
    <w:p>
      <w:pPr>
        <w:pStyle w:val="null3"/>
        <w:jc w:val="center"/>
        <w:outlineLvl w:val="2"/>
      </w:pPr>
      <w:r>
        <w:rPr>
          <w:rFonts w:ascii="仿宋_GB2312" w:hAnsi="仿宋_GB2312" w:cs="仿宋_GB2312" w:eastAsia="仿宋_GB2312"/>
          <w:sz w:val="28"/>
          <w:b/>
        </w:rPr>
        <w:t>陕西省福利彩票发行中心</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陕西省福利彩票发行中心</w:t>
      </w:r>
      <w:r>
        <w:rPr>
          <w:rFonts w:ascii="仿宋_GB2312" w:hAnsi="仿宋_GB2312" w:cs="仿宋_GB2312" w:eastAsia="仿宋_GB2312"/>
        </w:rPr>
        <w:t>委托，拟对</w:t>
      </w:r>
      <w:r>
        <w:rPr>
          <w:rFonts w:ascii="仿宋_GB2312" w:hAnsi="仿宋_GB2312" w:cs="仿宋_GB2312" w:eastAsia="仿宋_GB2312"/>
        </w:rPr>
        <w:t>2026年回馈彩民新春套装项目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KY2025-1-1114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2026年回馈彩民新春套装项目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陕西省福利彩票发行中心2026年回馈彩民新春套装项目，1批，具体内容详见招标文件第3章。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采购包1（2026年回馈彩民新春套装项目）：属于专门面向中小企业采购。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11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4、社会保障资金缴纳证明：提供2024年11月至今已缴存的至少一个月的社会保障资金缴存单据或社保机构开具的社会保险参保缴费情况证明，依法不需要缴纳社会保障资金的单位应提供相关证明材料。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8、声明函：本项目专门面向中小企业采购，投标产品的制造商应为中型企业或小型、微型企业或监狱企业或残疾人福利性单位，投标人须提供声明函。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陕西省福利彩票发行中心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西安市未央路副102号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65652528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温虎、韩婷、刘金柯、卢韶华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银行账号：86113010750181502000622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成交金额向采购代理机构交纳成交服务费，参照国家计委关于印发《招标代理服务收费管理暂行办法》的通知（计价格〔2002〕1980号）、《国家发展和改革委员会办公厅关于招标代理服务收费有关问题的通知》（发改办价格〔2003〕857号）规定收费标准计取。 本项目代理服务费按货物计取。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陕西省福利彩票发行中心</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陕西省福利彩票发行中心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陕西省福利彩票发行中心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联系人：温虎、韩婷</w:t>
      </w:r>
    </w:p>
    <w:p>
      <w:pPr>
        <w:pStyle w:val="null3"/>
      </w:pPr>
      <w:r>
        <w:rPr>
          <w:rFonts w:ascii="仿宋_GB2312" w:hAnsi="仿宋_GB2312" w:cs="仿宋_GB2312" w:eastAsia="仿宋_GB2312"/>
        </w:rPr>
        <w:t>联系电话：029-81206622-820</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陕西省福利彩票发行中心2026年回馈彩民新春套装项目，1批，具体内容详见技术要求。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回馈彩民新春套装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标的名称：回馈彩民新春套装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0"/>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为了更好地回馈彩民，进一步弘扬福利彩票</w:t>
            </w:r>
            <w:r>
              <w:rPr>
                <w:rFonts w:ascii="仿宋_GB2312" w:hAnsi="仿宋_GB2312" w:cs="仿宋_GB2312" w:eastAsia="仿宋_GB2312"/>
                <w:sz w:val="24"/>
              </w:rPr>
              <w:t>“公益、慈善、健康、快乐、创新”文化，每逢新春佳节到来之际，我们都会准备春联、福字等套装，通过全省投注站向彩民发放，受到广大业主和彩民朋友的一致好评。</w:t>
            </w:r>
          </w:p>
          <w:p>
            <w:pPr>
              <w:pStyle w:val="null3"/>
              <w:jc w:val="both"/>
            </w:pPr>
            <w:r>
              <w:rPr>
                <w:rFonts w:ascii="仿宋_GB2312" w:hAnsi="仿宋_GB2312" w:cs="仿宋_GB2312" w:eastAsia="仿宋_GB2312"/>
                <w:sz w:val="24"/>
                <w:b/>
              </w:rPr>
              <w:t>二、采购清单</w:t>
            </w:r>
          </w:p>
          <w:p>
            <w:pPr>
              <w:pStyle w:val="null3"/>
              <w:ind w:firstLine="480"/>
              <w:jc w:val="both"/>
            </w:pPr>
            <w:r>
              <w:rPr>
                <w:rFonts w:ascii="仿宋_GB2312" w:hAnsi="仿宋_GB2312" w:cs="仿宋_GB2312" w:eastAsia="仿宋_GB2312"/>
                <w:sz w:val="24"/>
              </w:rPr>
              <w:t>2026年回馈彩民新春套装，其中包括：磁吸对联装饰套、小对联、福字、静电窗贴、红包等。</w:t>
            </w:r>
          </w:p>
          <w:tbl>
            <w:tblPr>
              <w:tblInd w:type="dxa" w:w="120"/>
              <w:tblBorders>
                <w:top w:val="none" w:color="000000" w:sz="4"/>
                <w:left w:val="none" w:color="000000" w:sz="4"/>
                <w:bottom w:val="none" w:color="000000" w:sz="4"/>
                <w:right w:val="none" w:color="000000" w:sz="4"/>
                <w:insideH w:val="none"/>
                <w:insideV w:val="none"/>
              </w:tblBorders>
            </w:tblPr>
            <w:tblGrid>
              <w:gridCol w:w="269"/>
              <w:gridCol w:w="744"/>
              <w:gridCol w:w="491"/>
              <w:gridCol w:w="528"/>
              <w:gridCol w:w="507"/>
            </w:tblGrid>
            <w:tr>
              <w:tc>
                <w:tcPr>
                  <w:tcW w:type="dxa" w:w="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7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印件名称</w:t>
                  </w:r>
                </w:p>
              </w:tc>
              <w:tc>
                <w:tcPr>
                  <w:tcW w:type="dxa" w:w="4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5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5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磁吸对联</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2000</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小对联</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幅</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110000</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核心产品</w:t>
                  </w: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福字</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247500</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静电窗贴</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6"/>
                      <w:color w:val="000000"/>
                    </w:rPr>
                    <w:t>220000</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红包</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5个/包</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82500包</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袋子</w:t>
                  </w:r>
                </w:p>
              </w:tc>
              <w:tc>
                <w:tcPr>
                  <w:tcW w:type="dxa" w:w="4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2000</w:t>
                  </w:r>
                </w:p>
              </w:tc>
              <w:tc>
                <w:tcPr>
                  <w:tcW w:type="dxa" w:w="5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备注：具体规格以合同约定条款为准。</w:t>
                  </w:r>
                </w:p>
              </w:tc>
            </w:tr>
          </w:tbl>
          <w:p>
            <w:pPr>
              <w:pStyle w:val="null3"/>
              <w:jc w:val="both"/>
            </w:pPr>
            <w:r>
              <w:rPr>
                <w:rFonts w:ascii="仿宋_GB2312" w:hAnsi="仿宋_GB2312" w:cs="仿宋_GB2312" w:eastAsia="仿宋_GB2312"/>
                <w:sz w:val="24"/>
                <w:b/>
              </w:rPr>
              <w:t>三、参数指标</w:t>
            </w:r>
          </w:p>
          <w:tbl>
            <w:tblPr>
              <w:tblInd w:type="dxa" w:w="120"/>
              <w:tblBorders>
                <w:top w:val="none" w:color="000000" w:sz="4"/>
                <w:left w:val="none" w:color="000000" w:sz="4"/>
                <w:bottom w:val="none" w:color="000000" w:sz="4"/>
                <w:right w:val="none" w:color="000000" w:sz="4"/>
                <w:insideH w:val="none"/>
                <w:insideV w:val="none"/>
              </w:tblBorders>
            </w:tblPr>
            <w:tblGrid>
              <w:gridCol w:w="422"/>
              <w:gridCol w:w="1125"/>
              <w:gridCol w:w="1006"/>
            </w:tblGrid>
            <w:tr>
              <w:tc>
                <w:tcPr>
                  <w:tcW w:type="dxa" w:w="4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印件</w:t>
                  </w:r>
                </w:p>
                <w:p>
                  <w:pPr>
                    <w:pStyle w:val="null3"/>
                    <w:jc w:val="center"/>
                  </w:pPr>
                  <w:r>
                    <w:rPr>
                      <w:rFonts w:ascii="仿宋_GB2312" w:hAnsi="仿宋_GB2312" w:cs="仿宋_GB2312" w:eastAsia="仿宋_GB2312"/>
                      <w:sz w:val="24"/>
                      <w:b/>
                    </w:rPr>
                    <w:t>名称</w:t>
                  </w:r>
                </w:p>
              </w:tc>
              <w:tc>
                <w:tcPr>
                  <w:tcW w:type="dxa" w:w="1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物料工艺</w:t>
                  </w:r>
                </w:p>
              </w:tc>
              <w:tc>
                <w:tcPr>
                  <w:tcW w:type="dxa" w:w="10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规格</w:t>
                  </w:r>
                  <w:r>
                    <w:rPr>
                      <w:rFonts w:ascii="仿宋_GB2312" w:hAnsi="仿宋_GB2312" w:cs="仿宋_GB2312" w:eastAsia="仿宋_GB2312"/>
                      <w:sz w:val="24"/>
                      <w:b/>
                    </w:rPr>
                    <w:t>(mm)</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磁吸对联</w:t>
                  </w:r>
                </w:p>
              </w:tc>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白卡纸软磁激光雕刻，免胶免沾自动吸附。</w:t>
                  </w:r>
                </w:p>
              </w:tc>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对联尺寸：</w:t>
                  </w:r>
                  <w:r>
                    <w:rPr>
                      <w:rFonts w:ascii="仿宋_GB2312" w:hAnsi="仿宋_GB2312" w:cs="仿宋_GB2312" w:eastAsia="仿宋_GB2312"/>
                      <w:sz w:val="24"/>
                    </w:rPr>
                    <w:t>690×120，横批尺寸：360×120，门幅尺寸：280。</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小对联</w:t>
                  </w:r>
                </w:p>
              </w:tc>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128g铜版纸，四色印刷，专金，过UV。</w:t>
                  </w:r>
                </w:p>
              </w:tc>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对联尺寸：</w:t>
                  </w:r>
                  <w:r>
                    <w:rPr>
                      <w:rFonts w:ascii="仿宋_GB2312" w:hAnsi="仿宋_GB2312" w:cs="仿宋_GB2312" w:eastAsia="仿宋_GB2312"/>
                      <w:sz w:val="24"/>
                    </w:rPr>
                    <w:t>1080×210，横批尺寸：560×210。</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福字</w:t>
                  </w:r>
                </w:p>
              </w:tc>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200g白卡纸，四色印刷，专金，局部过UV亮光。</w:t>
                  </w:r>
                </w:p>
              </w:tc>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尺寸：</w:t>
                  </w:r>
                  <w:r>
                    <w:rPr>
                      <w:rFonts w:ascii="仿宋_GB2312" w:hAnsi="仿宋_GB2312" w:cs="仿宋_GB2312" w:eastAsia="仿宋_GB2312"/>
                      <w:sz w:val="24"/>
                    </w:rPr>
                    <w:t>335×335。</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静电窗贴</w:t>
                  </w:r>
                </w:p>
              </w:tc>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静电</w:t>
                  </w:r>
                  <w:r>
                    <w:rPr>
                      <w:rFonts w:ascii="仿宋_GB2312" w:hAnsi="仿宋_GB2312" w:cs="仿宋_GB2312" w:eastAsia="仿宋_GB2312"/>
                      <w:sz w:val="24"/>
                    </w:rPr>
                    <w:t>PVC，凹印，专红，模切。</w:t>
                  </w:r>
                </w:p>
              </w:tc>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尺寸：</w:t>
                  </w:r>
                  <w:r>
                    <w:rPr>
                      <w:rFonts w:ascii="仿宋_GB2312" w:hAnsi="仿宋_GB2312" w:cs="仿宋_GB2312" w:eastAsia="仿宋_GB2312"/>
                      <w:sz w:val="24"/>
                    </w:rPr>
                    <w:t>300×300。</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红包</w:t>
                  </w:r>
                </w:p>
              </w:tc>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200g卡纸，四色印刷，烫金，模切。</w:t>
                  </w:r>
                </w:p>
              </w:tc>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尺寸：</w:t>
                  </w:r>
                  <w:r>
                    <w:rPr>
                      <w:rFonts w:ascii="仿宋_GB2312" w:hAnsi="仿宋_GB2312" w:cs="仿宋_GB2312" w:eastAsia="仿宋_GB2312"/>
                      <w:sz w:val="24"/>
                    </w:rPr>
                    <w:t>90×180。</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袋子</w:t>
                  </w:r>
                </w:p>
              </w:tc>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加厚白卡纸，表面覆哑膜，定制</w:t>
                  </w:r>
                  <w:r>
                    <w:rPr>
                      <w:rFonts w:ascii="仿宋_GB2312" w:hAnsi="仿宋_GB2312" w:cs="仿宋_GB2312" w:eastAsia="仿宋_GB2312"/>
                      <w:sz w:val="24"/>
                    </w:rPr>
                    <w:t>LOGO，烫金压纹，丝印。</w:t>
                  </w:r>
                </w:p>
              </w:tc>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尺寸：</w:t>
                  </w:r>
                  <w:r>
                    <w:rPr>
                      <w:rFonts w:ascii="仿宋_GB2312" w:hAnsi="仿宋_GB2312" w:cs="仿宋_GB2312" w:eastAsia="仿宋_GB2312"/>
                      <w:sz w:val="24"/>
                    </w:rPr>
                    <w:t>300×400×120。</w:t>
                  </w:r>
                </w:p>
              </w:tc>
            </w:tr>
            <w:tr>
              <w:tc>
                <w:tcPr>
                  <w:tcW w:type="dxa" w:w="25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备注：具体规格以合同约定条款为准。</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交货期：2025年12月31日前；</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交货地点：陕西省福利彩票发行中心指定地点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乙方按期交货并提供交货确认清单后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乙方出具验收报告后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1、招标文件、投标文件、澄清表（函）；2、合同及附件文本；3、国家相应的标准、规范。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1.所有产品质量必须符合国家有关规范和相关政策。所有设备及辅材必须是未使用过的新产品，质量优良、渠道正当，配置合理。 2.质保期出现的质量问题由中标人负责解决并承担所有费用。质保期后如需更换，中标人应以优惠价提供。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1、投标人需要在线提交所有通过电子化交易平台实施的政府采购项目的投标文件。同时，编辑目录和页码，线下提交纸质响应文件正本壹份、副本贰份、电子版壹份（U盘壹份）。 2、纸质投标文件正本、副本、电子版，标明投标人名称分开密封递交（投标文件采用双面打印）。 3、线下纸质文件递交截止时间：同在线递交电子响应文件截止时间一致；线下纸质文件递交地点：西安市雁展路1111号莱安中心T6-15层。如需邮寄响应文件，仅接受顺丰速运（联系人：温虎、联系电话：029-81206622-820）。 4、保证金的退还：自中标通知书发出之日起5个工作日内退还未中标人的投标保证金,自采购合同签订之日起5个工作日内退还中标人的投标保证金。 5、样品递交要求 （1）供应商提供所投产品（磁吸对联、小对联、福字、静电窗贴、红包、袋子）的样品各一份； （2）递交样品截止时间：同投标文件递交时间一致； （3）样品递交地点：西安市雁展路1111号莱安中心T6-15层； （4）请将所有样品装在一个纸箱内密封提交（贴密封条并在密封处加盖公章），纸箱外部不得有公司标识，不接受不密封或密封不符合要求的样品。 （5）样品制作的标准和要求见招标文件第三章“3.3技术要求”；样品的评审方法以及评审标准见招标文件第五章“5.6评标细则及标准” （6）样品保管和封存：中标单位样品由采购人留存，作为项目履约验收的依据；未中标单位请在中标结果公布后5个工作日内领取。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本项目专门面向中小企业采购，投标产品的制造商应为中型企业或小型、微型企业或监狱企业或残疾人福利性单位，投标人须提供声明函。</w:t>
            </w:r>
          </w:p>
        </w:tc>
        <w:tc>
          <w:tcPr>
            <w:tcW w:type="dxa" w:w="1661"/>
          </w:tcPr>
          <w:p>
            <w:pPr>
              <w:pStyle w:val="null3"/>
            </w:pPr>
            <w:r>
              <w:rPr>
                <w:rFonts w:ascii="仿宋_GB2312" w:hAnsi="仿宋_GB2312" w:cs="仿宋_GB2312" w:eastAsia="仿宋_GB2312"/>
              </w:rPr>
              <w:t>投标人资格条件证明文件.docx 中小企业声明函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投标人资格条件证明文件.docx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1.在开标过程中，评标委员会认为投标人报价有可能影响产品质量或者不能诚信履约的，评标委员会应当要求其在评审现场合理的时间内提供成本构成书面说明，并提交相关证明材料 。书面说明应当按照国家财务会计制度的规定要求，逐项就投标人提供的货物、工程和服务的主营业务成本（应根据投标人企业类型予以区别）、税金及附加、销售费用、管理费用、 财务费用等成本构成事项详细陈述。 2. 投标人提交的相关证明材料，应当加盖投标人（法定名称）电子印章，在评标委员会要求的时间内通过项目电子化交易系统进行提交，否则提交的相关证明材料无效。投标人不能证明其报价合理性的，评标委员会应当将其响应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投标人资格条件证明文件.docx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投标人资格条件证明文件.docx 投标方案说明.docx 中小企业声明函 技术指标偏差表.docx 商务条款响应说明.docx 分项报价表.docx 投标函 残疾人福利性单位声明函 附件：保证金交纳凭证（保函）.docx 标的清单 投标文件封面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保证金交纳</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投标人资格条件证明文件.docx 投标方案说明.docx 中小企业声明函 技术指标偏差表.docx 商务条款响应说明.docx 分项报价表.docx 投标函 残疾人福利性单位声明函 附件：保证金交纳凭证（保函）.docx 标的清单 投标文件封面 投标人承诺书.docx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完全符合、响应招标文件要求，没有负偏离计10分；每负偏离一项扣1分，扣完为止。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根据投标人提供针对本项目的实施方案，包括但不限于：①项目重难点分析及解决方案；②配送方案及进度保证；③质量保证；④人员配置方案；⑤验收方案等。 方案各项内容全面详细、阐述条理清晰、符合本项目采购要求，能有效保障本项目实施计15分，每有一项缺项扣3分，每有一项内容存在一处缺陷扣1分,扣完为止。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投标人针对本项目提供福彩的设计方案，包括但不限于：①设计说明；②设计样式；③设计效果图等， 方案各项内容全面详细、阐述条理清晰、符合本项目采购要求，能有效保障本项目实施计9分，每有一项缺项扣3分，每有一项内容存在一处缺陷扣1分,扣完为止。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产品货源渠道</w:t>
            </w:r>
          </w:p>
        </w:tc>
        <w:tc>
          <w:tcPr>
            <w:tcW w:type="dxa" w:w="2492"/>
          </w:tcPr>
          <w:p>
            <w:pPr>
              <w:pStyle w:val="null3"/>
            </w:pPr>
            <w:r>
              <w:rPr>
                <w:rFonts w:ascii="仿宋_GB2312" w:hAnsi="仿宋_GB2312" w:cs="仿宋_GB2312" w:eastAsia="仿宋_GB2312"/>
              </w:rPr>
              <w:t>所投产品货源渠道来源正规，能提供产品合法来源渠道的证明文件（包括但不限于销售协议、代理协议、原厂授权等），提供齐全计6分，每缺少一个产品的扣1分，扣完为止。未提供不计分。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评审现场提供样品，对提供样品的工艺、材质、质量、设计等要素进行综合评审。 1、所提供样品数量及规格完全符合文件要求，工艺、材质、质量及设计等要素完全满足采购要求，计9分； 2、所提供样品数量及规格符合文件要求，工艺、材质、质量及设计等要素存在细微缺陷，能够满足采购要求，计6分； 3、所提供样品数量及规格符合文件要求，工艺、材质、质量及设计等要素存在缺陷，不能完全满足采购人要求，计3分； 4、所提供样品数量缺项、规格不符合文件要求，材质质量等要素未达到采购文件要求，无法满足采购要求，计1分； 5、未提供样品的不计分。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投标人提供针对本项目的售后服务方案，包括但不限于：①质量保障措施；②出现质量问题的解决措施；③响应时间；④应急处理方案等内容。 售后服务有具体、详细、可行的方案及措施，对响应及上门时间有明确表述，能够完全满足本项目采购要求，计12分；每有一项缺项扣3分，每有一项内容存在一处缺陷扣1分，扣完为止。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投标人提供2022年1月1日至今（以合同签订日期为准）类似项目的业绩合同，每份计1分，满分6分。 注：须提供项目合同或协议的关键页（包括但不限于合同首尾页、项目内容页，签字盖章页，签订日期页）扫描件，加盖公章，否则不计分。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投标人具有有效的《印刷经营许可证》，计3分；未提供不计分。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详见附件：附件：保证金交纳凭证（保函）.docx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