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版本号：GCZB2025-09-198-02-Y20251117001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秦汉馆动力、电力系统运维技术服务项目(二次)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GCZB2025-09-198-02-Y</w:t>
      </w:r>
      <w:r>
        <w:br/>
      </w:r>
      <w:r>
        <w:br/>
      </w:r>
      <w:r>
        <w:br/>
      </w:r>
    </w:p>
    <w:p>
      <w:pPr>
        <w:pStyle w:val="null3"/>
        <w:jc w:val="center"/>
        <w:outlineLvl w:val="2"/>
      </w:pPr>
      <w:r>
        <w:rPr>
          <w:rFonts w:ascii="仿宋_GB2312" w:hAnsi="仿宋_GB2312" w:cs="仿宋_GB2312" w:eastAsia="仿宋_GB2312"/>
          <w:sz w:val="28"/>
          <w:b/>
        </w:rPr>
        <w:t>陕西历史博物馆</w:t>
      </w:r>
    </w:p>
    <w:p>
      <w:pPr>
        <w:pStyle w:val="null3"/>
        <w:jc w:val="center"/>
        <w:outlineLvl w:val="2"/>
      </w:pPr>
      <w:r>
        <w:rPr>
          <w:rFonts w:ascii="仿宋_GB2312" w:hAnsi="仿宋_GB2312" w:cs="仿宋_GB2312" w:eastAsia="仿宋_GB2312"/>
          <w:sz w:val="28"/>
          <w:b/>
        </w:rPr>
        <w:t>陕西国创招标有限公司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2025年11月17日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陕西国创招标有限公司</w:t>
      </w:r>
      <w:r>
        <w:rPr>
          <w:rFonts w:ascii="仿宋_GB2312" w:hAnsi="仿宋_GB2312" w:cs="仿宋_GB2312" w:eastAsia="仿宋_GB2312"/>
        </w:rPr>
        <w:t>（以下简称“代理机构”）受</w:t>
      </w:r>
      <w:r>
        <w:rPr>
          <w:rFonts w:ascii="仿宋_GB2312" w:hAnsi="仿宋_GB2312" w:cs="仿宋_GB2312" w:eastAsia="仿宋_GB2312"/>
        </w:rPr>
        <w:t>陕西历史博物馆</w:t>
      </w:r>
      <w:r>
        <w:rPr>
          <w:rFonts w:ascii="仿宋_GB2312" w:hAnsi="仿宋_GB2312" w:cs="仿宋_GB2312" w:eastAsia="仿宋_GB2312"/>
        </w:rPr>
        <w:t>委托，拟对</w:t>
      </w:r>
      <w:r>
        <w:rPr>
          <w:rFonts w:ascii="仿宋_GB2312" w:hAnsi="仿宋_GB2312" w:cs="仿宋_GB2312" w:eastAsia="仿宋_GB2312"/>
        </w:rPr>
        <w:t>秦汉馆动力、电力系统运维技术服务项目(二次)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GCZB2025-09-198-02-Y</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秦汉馆动力、电力系统运维技术服务项目(二次)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陕西历史博物馆秦汉馆动力、电力系统运维技术服务项目（二次），1项，预算金额1239138.16元/年，服务期三年，合同一年一签，具体内容详见第三章技术服务要求。</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采购包1（陕西历史博物馆秦汉馆动力、电力系统运维技术服务项目）：属于专门面向中小企业采购。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2、财务状况报告：提供经审计的2023年度或2024年度的财务报告或提交投标文件截止时间前六个月内其基本账户开户银行出具的资信证明；其他组织和自然人提供银行出具的资信证明或财务报表；</w:t>
      </w:r>
    </w:p>
    <w:p>
      <w:pPr>
        <w:pStyle w:val="null3"/>
      </w:pPr>
      <w:r>
        <w:rPr>
          <w:rFonts w:ascii="仿宋_GB2312" w:hAnsi="仿宋_GB2312" w:cs="仿宋_GB2312" w:eastAsia="仿宋_GB2312"/>
        </w:rPr>
        <w:t>3、税收缴纳证明：提供递交投标文件截止之日前一年内任意一个月的依法缴纳税收的相关凭据，凭据应有税务机关或代收机关的公章或业务专用章。依法免税或无须缴纳税收的投标人应提供相应证明文件；</w:t>
      </w:r>
    </w:p>
    <w:p>
      <w:pPr>
        <w:pStyle w:val="null3"/>
      </w:pPr>
      <w:r>
        <w:rPr>
          <w:rFonts w:ascii="仿宋_GB2312" w:hAnsi="仿宋_GB2312" w:cs="仿宋_GB2312" w:eastAsia="仿宋_GB2312"/>
        </w:rPr>
        <w:t>4、社会保障资金缴纳证明：提供投标文件递交截止日前一年内已缴存的任意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纪，以及未被列入失信被执行人、重大税收违法案件当事人名单、政府采购严重违法失信行为记录名单的书面声明；本项目拒绝被列入失信被执行人、重大税收违法案件当事人名单、政府采购严重违法失信行为的供应商参与；</w:t>
      </w:r>
    </w:p>
    <w:p>
      <w:pPr>
        <w:pStyle w:val="null3"/>
      </w:pPr>
      <w:r>
        <w:rPr>
          <w:rFonts w:ascii="仿宋_GB2312" w:hAnsi="仿宋_GB2312" w:cs="仿宋_GB2312" w:eastAsia="仿宋_GB2312"/>
        </w:rPr>
        <w:t>6、具有履行合同所必须的设备和专业技术能力：具有履行合同所必须的设备和专业技术能力的说明及承诺；</w:t>
      </w:r>
    </w:p>
    <w:p>
      <w:pPr>
        <w:pStyle w:val="null3"/>
      </w:pPr>
      <w:r>
        <w:rPr>
          <w:rFonts w:ascii="仿宋_GB2312" w:hAnsi="仿宋_GB2312" w:cs="仿宋_GB2312" w:eastAsia="仿宋_GB2312"/>
        </w:rPr>
        <w:t>7、法定代表人授权书：供应商应授权合法的人员参加磋商，其中法定代表人直接参加的，须出具法定代表人证明书；被授权代表参加的，须出具法定代表人授权书 ；</w:t>
      </w:r>
    </w:p>
    <w:p>
      <w:pPr>
        <w:pStyle w:val="null3"/>
      </w:pPr>
      <w:r>
        <w:rPr>
          <w:rFonts w:ascii="仿宋_GB2312" w:hAnsi="仿宋_GB2312" w:cs="仿宋_GB2312" w:eastAsia="仿宋_GB2312"/>
        </w:rPr>
        <w:t>8、企业资质：供应商须具备建筑机电安装工程专业承包三级或以上；</w:t>
      </w:r>
    </w:p>
    <w:p>
      <w:pPr>
        <w:pStyle w:val="null3"/>
      </w:pPr>
      <w:r>
        <w:rPr>
          <w:rFonts w:ascii="仿宋_GB2312" w:hAnsi="仿宋_GB2312" w:cs="仿宋_GB2312" w:eastAsia="仿宋_GB2312"/>
        </w:rPr>
        <w:t>9、中小企业声明函： 本项目专门面向中小企业采购，供应商应为中小微企业或监狱企业或残疾人福利性单位。供应商为中型、小型、微型企业的，提供《中小企业声明函》；供应商为监狱企业的，应提供监狱企业的证明文件；供应商为残疾人福利性单位的，应提供《残疾人福利性单位声明函》；</w:t>
      </w:r>
    </w:p>
    <w:p>
      <w:pPr>
        <w:pStyle w:val="null3"/>
      </w:pPr>
      <w:r>
        <w:rPr>
          <w:rFonts w:ascii="仿宋_GB2312" w:hAnsi="仿宋_GB2312" w:cs="仿宋_GB2312" w:eastAsia="仿宋_GB2312"/>
        </w:rPr>
        <w:t>10、直接控股、管理关系：单位负责人为同一人或存在直接控股、管理关系的不同单位，不得同时参加本项目投标活动；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陕西历史博物馆</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西安市雁塔区小寨东路91号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陕西历史博物馆</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029-627390176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陕西国创招标有限公司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西安市高新区高新一路5号正信大厦A座24楼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710077</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杨翠 任亚明 魏存刚</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029-89289291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采购包1：1,239,138.16元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否</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否</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否</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采购包1保证金金额：24,000.00元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开户名称：陕西国创招标有限公司</w:t>
            </w:r>
          </w:p>
          <w:p>
            <w:pPr>
              <w:pStyle w:val="null3"/>
            </w:pPr>
            <w:r>
              <w:rPr>
                <w:rFonts w:ascii="仿宋_GB2312" w:hAnsi="仿宋_GB2312" w:cs="仿宋_GB2312" w:eastAsia="仿宋_GB2312"/>
              </w:rPr>
              <w:t>开户银行：招商银行股份有限公司西安高新技术开发区支行</w:t>
            </w:r>
          </w:p>
          <w:p>
            <w:pPr>
              <w:pStyle w:val="null3"/>
            </w:pPr>
            <w:r>
              <w:rPr>
                <w:rFonts w:ascii="仿宋_GB2312" w:hAnsi="仿宋_GB2312" w:cs="仿宋_GB2312" w:eastAsia="仿宋_GB2312"/>
              </w:rPr>
              <w:t>银行账号：129905629810401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代理服务费收费标准：参照国家发展和改革委员会《招标代理服务收费暂行办法》（计价格[2002]1980号）及发改办价格[2003]857号文件的规定标准收取。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陕西历史博物馆</w:t>
      </w:r>
      <w:r>
        <w:rPr>
          <w:rFonts w:ascii="仿宋_GB2312" w:hAnsi="仿宋_GB2312" w:cs="仿宋_GB2312" w:eastAsia="仿宋_GB2312"/>
        </w:rPr>
        <w:t>和</w:t>
      </w:r>
      <w:r>
        <w:rPr>
          <w:rFonts w:ascii="仿宋_GB2312" w:hAnsi="仿宋_GB2312" w:cs="仿宋_GB2312" w:eastAsia="仿宋_GB2312"/>
        </w:rPr>
        <w:t>陕西国创招标有限公司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陕西历史博物馆</w:t>
      </w:r>
      <w:r>
        <w:rPr>
          <w:rFonts w:ascii="仿宋_GB2312" w:hAnsi="仿宋_GB2312" w:cs="仿宋_GB2312" w:eastAsia="仿宋_GB2312"/>
        </w:rPr>
        <w:t>负责解释。除上述磋商文件内容，其他内容由</w:t>
      </w:r>
      <w:r>
        <w:rPr>
          <w:rFonts w:ascii="仿宋_GB2312" w:hAnsi="仿宋_GB2312" w:cs="仿宋_GB2312" w:eastAsia="仿宋_GB2312"/>
        </w:rPr>
        <w:t>陕西国创招标有限公司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陕西历史博物馆</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陕西国创招标有限公司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根据采购文件、响应文件以及合同约定执行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陕西国创招标有限公司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陕西国创招标有限公司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陕西国创招标有限公司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联系人：任亚明</w:t>
      </w:r>
    </w:p>
    <w:p>
      <w:pPr>
        <w:pStyle w:val="null3"/>
      </w:pPr>
      <w:r>
        <w:rPr>
          <w:rFonts w:ascii="仿宋_GB2312" w:hAnsi="仿宋_GB2312" w:cs="仿宋_GB2312" w:eastAsia="仿宋_GB2312"/>
        </w:rPr>
        <w:t>联系电话：029-89289291（549470923@qq.com）</w:t>
      </w:r>
    </w:p>
    <w:p>
      <w:pPr>
        <w:pStyle w:val="null3"/>
      </w:pPr>
      <w:r>
        <w:rPr>
          <w:rFonts w:ascii="仿宋_GB2312" w:hAnsi="仿宋_GB2312" w:cs="仿宋_GB2312" w:eastAsia="仿宋_GB2312"/>
        </w:rPr>
        <w:t>地址：西安市高新区高新一路5号正信大厦A座24楼</w:t>
      </w:r>
    </w:p>
    <w:p>
      <w:pPr>
        <w:pStyle w:val="null3"/>
      </w:pPr>
      <w:r>
        <w:rPr>
          <w:rFonts w:ascii="仿宋_GB2312" w:hAnsi="仿宋_GB2312" w:cs="仿宋_GB2312" w:eastAsia="仿宋_GB2312"/>
        </w:rPr>
        <w:t>邮编： 710077</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陕西历史博物馆秦汉馆占地面积约 300 亩，建筑 面积 3.9 万平方米。该运维项目涵盖了秦汉馆内的动力、 电力系统的日常技术保障服务，主要包括给排水、空调、 水施设备、配电间、变压器电柜及相关电力设施的日常操 作施；主要功能或目标:为全力做好秦汉馆全馆的动力、电 力保障服务，计划对秦汉馆的动力设备运维、高低压设备 运维、全馆日常工作中的动力和电力相关工作进行外包； 需满足的要求:1.配备专业实操水平过硬的专业技术人员持 证上岗 2.按照要求配电室 24 小时进行有人值守 3.须严格 遵守馆内相关制度，服从管理。</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1,239,138.16</w:t>
      </w:r>
    </w:p>
    <w:p>
      <w:pPr>
        <w:pStyle w:val="null3"/>
      </w:pPr>
      <w:r>
        <w:rPr>
          <w:rFonts w:ascii="仿宋_GB2312" w:hAnsi="仿宋_GB2312" w:cs="仿宋_GB2312" w:eastAsia="仿宋_GB2312"/>
        </w:rPr>
        <w:t>采购包最高限价（元）: 1,239,138.16</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运维</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1,239,138.16</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标的名称：运维</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rPr>
              <w:t>一、服务地点：陕西历史博物馆秦汉馆。</w:t>
            </w:r>
          </w:p>
          <w:p>
            <w:pPr>
              <w:pStyle w:val="null3"/>
              <w:jc w:val="both"/>
            </w:pPr>
            <w:r>
              <w:rPr>
                <w:rFonts w:ascii="仿宋_GB2312" w:hAnsi="仿宋_GB2312" w:cs="仿宋_GB2312" w:eastAsia="仿宋_GB2312"/>
                <w:sz w:val="24"/>
              </w:rPr>
              <w:t>二、服务期限及时间要求：</w:t>
            </w:r>
            <w:r>
              <w:rPr>
                <w:rFonts w:ascii="仿宋_GB2312" w:hAnsi="仿宋_GB2312" w:cs="仿宋_GB2312" w:eastAsia="仿宋_GB2312"/>
                <w:sz w:val="24"/>
              </w:rPr>
              <w:t>三年，合同一年一签，全年开展运维工作，包含周末和节假日。运维人员工作时间需根据博物馆开放时间决定，每日提前进场启动各类设备，闭馆后设备停止运行后离场。动力及电力夜间需要各一人值班。</w:t>
            </w:r>
          </w:p>
          <w:p>
            <w:pPr>
              <w:pStyle w:val="null3"/>
              <w:jc w:val="both"/>
            </w:pPr>
            <w:r>
              <w:rPr>
                <w:rFonts w:ascii="仿宋_GB2312" w:hAnsi="仿宋_GB2312" w:cs="仿宋_GB2312" w:eastAsia="仿宋_GB2312"/>
                <w:sz w:val="24"/>
              </w:rPr>
              <w:t>三、派驻人员：</w:t>
            </w:r>
          </w:p>
          <w:p>
            <w:pPr>
              <w:pStyle w:val="null3"/>
              <w:jc w:val="both"/>
            </w:pPr>
            <w:r>
              <w:rPr>
                <w:rFonts w:ascii="仿宋_GB2312" w:hAnsi="仿宋_GB2312" w:cs="仿宋_GB2312" w:eastAsia="仿宋_GB2312"/>
                <w:sz w:val="24"/>
              </w:rPr>
              <w:t>1.空调系统：派驻</w:t>
            </w:r>
            <w:r>
              <w:rPr>
                <w:rFonts w:ascii="仿宋_GB2312" w:hAnsi="仿宋_GB2312" w:cs="仿宋_GB2312" w:eastAsia="仿宋_GB2312"/>
                <w:sz w:val="24"/>
              </w:rPr>
              <w:t>4</w:t>
            </w:r>
            <w:r>
              <w:rPr>
                <w:rFonts w:ascii="仿宋_GB2312" w:hAnsi="仿宋_GB2312" w:cs="仿宋_GB2312" w:eastAsia="仿宋_GB2312"/>
                <w:sz w:val="24"/>
              </w:rPr>
              <w:t>人，需持特种作业操作证（制冷与空调作业）上岗；</w:t>
            </w:r>
          </w:p>
          <w:p>
            <w:pPr>
              <w:pStyle w:val="null3"/>
              <w:jc w:val="both"/>
            </w:pPr>
            <w:r>
              <w:rPr>
                <w:rFonts w:ascii="仿宋_GB2312" w:hAnsi="仿宋_GB2312" w:cs="仿宋_GB2312" w:eastAsia="仿宋_GB2312"/>
                <w:sz w:val="24"/>
              </w:rPr>
              <w:t>2.水系统：派驻</w:t>
            </w:r>
            <w:r>
              <w:rPr>
                <w:rFonts w:ascii="仿宋_GB2312" w:hAnsi="仿宋_GB2312" w:cs="仿宋_GB2312" w:eastAsia="仿宋_GB2312"/>
                <w:sz w:val="24"/>
              </w:rPr>
              <w:t>4</w:t>
            </w:r>
            <w:r>
              <w:rPr>
                <w:rFonts w:ascii="仿宋_GB2312" w:hAnsi="仿宋_GB2312" w:cs="仿宋_GB2312" w:eastAsia="仿宋_GB2312"/>
                <w:sz w:val="24"/>
              </w:rPr>
              <w:t>人；</w:t>
            </w:r>
          </w:p>
          <w:p>
            <w:pPr>
              <w:pStyle w:val="null3"/>
              <w:jc w:val="both"/>
            </w:pPr>
            <w:r>
              <w:rPr>
                <w:rFonts w:ascii="仿宋_GB2312" w:hAnsi="仿宋_GB2312" w:cs="仿宋_GB2312" w:eastAsia="仿宋_GB2312"/>
                <w:sz w:val="24"/>
              </w:rPr>
              <w:t>3.电力系统：派驻</w:t>
            </w:r>
            <w:r>
              <w:rPr>
                <w:rFonts w:ascii="仿宋_GB2312" w:hAnsi="仿宋_GB2312" w:cs="仿宋_GB2312" w:eastAsia="仿宋_GB2312"/>
                <w:sz w:val="24"/>
              </w:rPr>
              <w:t>4</w:t>
            </w:r>
            <w:r>
              <w:rPr>
                <w:rFonts w:ascii="仿宋_GB2312" w:hAnsi="仿宋_GB2312" w:cs="仿宋_GB2312" w:eastAsia="仿宋_GB2312"/>
                <w:sz w:val="24"/>
              </w:rPr>
              <w:t>人，其中高压电工</w:t>
            </w:r>
            <w:r>
              <w:rPr>
                <w:rFonts w:ascii="仿宋_GB2312" w:hAnsi="仿宋_GB2312" w:cs="仿宋_GB2312" w:eastAsia="仿宋_GB2312"/>
                <w:sz w:val="24"/>
              </w:rPr>
              <w:t>2名，低压电工</w:t>
            </w:r>
            <w:r>
              <w:rPr>
                <w:rFonts w:ascii="仿宋_GB2312" w:hAnsi="仿宋_GB2312" w:cs="仿宋_GB2312" w:eastAsia="仿宋_GB2312"/>
                <w:sz w:val="24"/>
              </w:rPr>
              <w:t>2</w:t>
            </w:r>
            <w:r>
              <w:rPr>
                <w:rFonts w:ascii="仿宋_GB2312" w:hAnsi="仿宋_GB2312" w:cs="仿宋_GB2312" w:eastAsia="仿宋_GB2312"/>
                <w:sz w:val="24"/>
              </w:rPr>
              <w:t>名，需持特种作业操作证上岗。</w:t>
            </w:r>
          </w:p>
          <w:p>
            <w:pPr>
              <w:pStyle w:val="null3"/>
              <w:jc w:val="both"/>
            </w:pPr>
            <w:r>
              <w:rPr>
                <w:rFonts w:ascii="仿宋_GB2312" w:hAnsi="仿宋_GB2312" w:cs="仿宋_GB2312" w:eastAsia="仿宋_GB2312"/>
                <w:sz w:val="24"/>
              </w:rPr>
              <w:t>四、服务内容</w:t>
            </w:r>
          </w:p>
          <w:p>
            <w:pPr>
              <w:pStyle w:val="null3"/>
              <w:jc w:val="both"/>
            </w:pPr>
            <w:r>
              <w:rPr>
                <w:rFonts w:ascii="仿宋_GB2312" w:hAnsi="仿宋_GB2312" w:cs="仿宋_GB2312" w:eastAsia="仿宋_GB2312"/>
                <w:sz w:val="24"/>
              </w:rPr>
              <w:t>（一）空调系统运维服务内容</w:t>
            </w:r>
          </w:p>
          <w:p>
            <w:pPr>
              <w:pStyle w:val="null3"/>
              <w:jc w:val="both"/>
            </w:pPr>
            <w:r>
              <w:rPr>
                <w:rFonts w:ascii="仿宋_GB2312" w:hAnsi="仿宋_GB2312" w:cs="仿宋_GB2312" w:eastAsia="仿宋_GB2312"/>
                <w:sz w:val="24"/>
              </w:rPr>
              <w:t>1.确保空调系统的正常开启、运行与检修；</w:t>
            </w:r>
          </w:p>
          <w:p>
            <w:pPr>
              <w:pStyle w:val="null3"/>
              <w:jc w:val="both"/>
            </w:pPr>
            <w:r>
              <w:rPr>
                <w:rFonts w:ascii="仿宋_GB2312" w:hAnsi="仿宋_GB2312" w:cs="仿宋_GB2312" w:eastAsia="仿宋_GB2312"/>
                <w:sz w:val="24"/>
              </w:rPr>
              <w:t>2.完成3台冷冻机专业保养及冷却塔清洗；</w:t>
            </w:r>
          </w:p>
          <w:p>
            <w:pPr>
              <w:pStyle w:val="null3"/>
              <w:jc w:val="both"/>
            </w:pPr>
            <w:r>
              <w:rPr>
                <w:rFonts w:ascii="仿宋_GB2312" w:hAnsi="仿宋_GB2312" w:cs="仿宋_GB2312" w:eastAsia="仿宋_GB2312"/>
                <w:sz w:val="24"/>
              </w:rPr>
              <w:t>3.完成1套软水系统和过滤系统的专业维保；</w:t>
            </w:r>
          </w:p>
          <w:p>
            <w:pPr>
              <w:pStyle w:val="null3"/>
              <w:jc w:val="both"/>
            </w:pPr>
            <w:r>
              <w:rPr>
                <w:rFonts w:ascii="仿宋_GB2312" w:hAnsi="仿宋_GB2312" w:cs="仿宋_GB2312" w:eastAsia="仿宋_GB2312"/>
                <w:sz w:val="24"/>
              </w:rPr>
              <w:t>4.完成1次馆区所有风柜及所有出风口、回风口的专业清洗；</w:t>
            </w:r>
          </w:p>
          <w:p>
            <w:pPr>
              <w:pStyle w:val="null3"/>
              <w:jc w:val="both"/>
            </w:pPr>
            <w:r>
              <w:rPr>
                <w:rFonts w:ascii="仿宋_GB2312" w:hAnsi="仿宋_GB2312" w:cs="仿宋_GB2312" w:eastAsia="仿宋_GB2312"/>
                <w:sz w:val="24"/>
              </w:rPr>
              <w:t>5.定期拆卸并清洗通风口的防尘网，用清水冲洗晾干后装回，每次换季开机前对通风口表面及附近区域进行擦拭消毒，减少初期污染物扩散，减少螨虫滋生；</w:t>
            </w:r>
          </w:p>
          <w:p>
            <w:pPr>
              <w:pStyle w:val="null3"/>
              <w:jc w:val="both"/>
            </w:pPr>
            <w:r>
              <w:rPr>
                <w:rFonts w:ascii="仿宋_GB2312" w:hAnsi="仿宋_GB2312" w:cs="仿宋_GB2312" w:eastAsia="仿宋_GB2312"/>
                <w:sz w:val="24"/>
              </w:rPr>
              <w:t>6.每年4月和11月开展1次通风管道细菌检测，对风管管道检测细菌及微生物10个点位、检测嗜肺军团菌5个点位进行检测，并聘请具有相关资质的专业检测机构检测并出具专业检测报告；</w:t>
            </w:r>
          </w:p>
          <w:p>
            <w:pPr>
              <w:pStyle w:val="null3"/>
              <w:jc w:val="both"/>
            </w:pPr>
            <w:r>
              <w:rPr>
                <w:rFonts w:ascii="仿宋_GB2312" w:hAnsi="仿宋_GB2312" w:cs="仿宋_GB2312" w:eastAsia="仿宋_GB2312"/>
                <w:sz w:val="24"/>
              </w:rPr>
              <w:t>7.按时开展设备巡检工作，制定详细的巡检记录表，并做好记录；</w:t>
            </w:r>
          </w:p>
          <w:p>
            <w:pPr>
              <w:pStyle w:val="null3"/>
              <w:jc w:val="both"/>
            </w:pPr>
            <w:r>
              <w:rPr>
                <w:rFonts w:ascii="仿宋_GB2312" w:hAnsi="仿宋_GB2312" w:cs="仿宋_GB2312" w:eastAsia="仿宋_GB2312"/>
                <w:sz w:val="24"/>
              </w:rPr>
              <w:t>8.做好每周工作计划及完成情况汇总。</w:t>
            </w:r>
          </w:p>
          <w:p>
            <w:pPr>
              <w:pStyle w:val="null3"/>
              <w:jc w:val="both"/>
            </w:pPr>
            <w:r>
              <w:rPr>
                <w:rFonts w:ascii="仿宋_GB2312" w:hAnsi="仿宋_GB2312" w:cs="仿宋_GB2312" w:eastAsia="仿宋_GB2312"/>
                <w:sz w:val="24"/>
              </w:rPr>
              <w:t>（二）水系统运维服务内容</w:t>
            </w:r>
          </w:p>
          <w:p>
            <w:pPr>
              <w:pStyle w:val="null3"/>
              <w:jc w:val="both"/>
            </w:pPr>
            <w:r>
              <w:rPr>
                <w:rFonts w:ascii="仿宋_GB2312" w:hAnsi="仿宋_GB2312" w:cs="仿宋_GB2312" w:eastAsia="仿宋_GB2312"/>
                <w:sz w:val="24"/>
              </w:rPr>
              <w:t>1.完成直饮水机的维护检修，对馆区13台800加仑饮水机每年开展2次滤芯的购置更换；</w:t>
            </w:r>
          </w:p>
          <w:p>
            <w:pPr>
              <w:pStyle w:val="null3"/>
              <w:jc w:val="both"/>
            </w:pPr>
            <w:r>
              <w:rPr>
                <w:rFonts w:ascii="仿宋_GB2312" w:hAnsi="仿宋_GB2312" w:cs="仿宋_GB2312" w:eastAsia="仿宋_GB2312"/>
                <w:sz w:val="24"/>
              </w:rPr>
              <w:t>2.完成卫生间各种感应阀、小便斗、蹲坑感应器、水龙头、冷热水混合阀等设备的维护与更换；</w:t>
            </w:r>
          </w:p>
          <w:p>
            <w:pPr>
              <w:pStyle w:val="null3"/>
              <w:jc w:val="both"/>
            </w:pPr>
            <w:r>
              <w:rPr>
                <w:rFonts w:ascii="仿宋_GB2312" w:hAnsi="仿宋_GB2312" w:cs="仿宋_GB2312" w:eastAsia="仿宋_GB2312"/>
                <w:sz w:val="24"/>
              </w:rPr>
              <w:t>3.完成1次馆区所有污水管道清洗；</w:t>
            </w:r>
          </w:p>
          <w:p>
            <w:pPr>
              <w:pStyle w:val="null3"/>
              <w:jc w:val="both"/>
            </w:pPr>
            <w:r>
              <w:rPr>
                <w:rFonts w:ascii="仿宋_GB2312" w:hAnsi="仿宋_GB2312" w:cs="仿宋_GB2312" w:eastAsia="仿宋_GB2312"/>
                <w:sz w:val="24"/>
              </w:rPr>
              <w:t>4.完成2次所有排水槽和落水口的疏通；</w:t>
            </w:r>
          </w:p>
          <w:p>
            <w:pPr>
              <w:pStyle w:val="null3"/>
              <w:jc w:val="both"/>
            </w:pPr>
            <w:r>
              <w:rPr>
                <w:rFonts w:ascii="仿宋_GB2312" w:hAnsi="仿宋_GB2312" w:cs="仿宋_GB2312" w:eastAsia="仿宋_GB2312"/>
                <w:sz w:val="24"/>
              </w:rPr>
              <w:t>5.每季度完成1次化粪池、隔油池每季度清污；</w:t>
            </w:r>
          </w:p>
          <w:p>
            <w:pPr>
              <w:pStyle w:val="null3"/>
              <w:jc w:val="both"/>
            </w:pPr>
            <w:r>
              <w:rPr>
                <w:rFonts w:ascii="仿宋_GB2312" w:hAnsi="仿宋_GB2312" w:cs="仿宋_GB2312" w:eastAsia="仿宋_GB2312"/>
                <w:sz w:val="24"/>
              </w:rPr>
              <w:t>6.完成化粪池、隔油池清运以及雨水管道、污水管道、自来水管道的检修维护；</w:t>
            </w:r>
          </w:p>
          <w:p>
            <w:pPr>
              <w:pStyle w:val="null3"/>
              <w:jc w:val="both"/>
            </w:pPr>
            <w:r>
              <w:rPr>
                <w:rFonts w:ascii="仿宋_GB2312" w:hAnsi="仿宋_GB2312" w:cs="仿宋_GB2312" w:eastAsia="仿宋_GB2312"/>
                <w:sz w:val="24"/>
              </w:rPr>
              <w:t>7.开展直饮水水质检测，每年5月给直饮水机水质做26项水质检测，符合GB5749-2006生活饮用水卫生标准，并聘请具有相关资质的专业检测机构检测并出具专业检测报告；</w:t>
            </w:r>
          </w:p>
          <w:p>
            <w:pPr>
              <w:pStyle w:val="null3"/>
              <w:jc w:val="both"/>
            </w:pPr>
            <w:r>
              <w:rPr>
                <w:rFonts w:ascii="仿宋_GB2312" w:hAnsi="仿宋_GB2312" w:cs="仿宋_GB2312" w:eastAsia="仿宋_GB2312"/>
                <w:sz w:val="24"/>
              </w:rPr>
              <w:t>8.完成中水系统的运维；</w:t>
            </w:r>
          </w:p>
          <w:p>
            <w:pPr>
              <w:pStyle w:val="null3"/>
              <w:jc w:val="both"/>
            </w:pPr>
            <w:r>
              <w:rPr>
                <w:rFonts w:ascii="仿宋_GB2312" w:hAnsi="仿宋_GB2312" w:cs="仿宋_GB2312" w:eastAsia="仿宋_GB2312"/>
                <w:sz w:val="24"/>
              </w:rPr>
              <w:t xml:space="preserve">9.完成景观水池日常维护工作；  </w:t>
            </w:r>
          </w:p>
          <w:p>
            <w:pPr>
              <w:pStyle w:val="null3"/>
              <w:jc w:val="both"/>
            </w:pPr>
            <w:r>
              <w:rPr>
                <w:rFonts w:ascii="仿宋_GB2312" w:hAnsi="仿宋_GB2312" w:cs="仿宋_GB2312" w:eastAsia="仿宋_GB2312"/>
                <w:sz w:val="24"/>
              </w:rPr>
              <w:t xml:space="preserve">10.完成2至3次七区负一层生活水箱清洗。                                                                </w:t>
            </w:r>
          </w:p>
          <w:p>
            <w:pPr>
              <w:pStyle w:val="null3"/>
              <w:jc w:val="both"/>
            </w:pPr>
            <w:r>
              <w:rPr>
                <w:rFonts w:ascii="仿宋_GB2312" w:hAnsi="仿宋_GB2312" w:cs="仿宋_GB2312" w:eastAsia="仿宋_GB2312"/>
                <w:sz w:val="24"/>
              </w:rPr>
              <w:t>11.运维服务所需配件与耗材包含在内，具体包括：</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卫生间供水系统材料：卫生间各种感应阀门龙头、小便斗感应器龙头、蹲坑感应器龙头、冷热水混合龙头、龙头控制器等设备；5号电池、玻璃胶、结构胶、生胶带及防水胶带耗材；各种塑料袋，橡胶手套，帆布手套；</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2）直饮水机龙头、面盆龙头、拖布池龙头、洗衣机龙头等各类龙头；</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3）淋浴器以及冷热水混合器；</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4）各种小配件：各种给水金属软管及下水管、角阀；各种小阀门（小于等于DN25以下）及管子、管件、常用螺丝螺帽等。</w:t>
            </w:r>
          </w:p>
          <w:p>
            <w:pPr>
              <w:pStyle w:val="null3"/>
              <w:jc w:val="both"/>
            </w:pPr>
            <w:r>
              <w:rPr>
                <w:rFonts w:ascii="仿宋_GB2312" w:hAnsi="仿宋_GB2312" w:cs="仿宋_GB2312" w:eastAsia="仿宋_GB2312"/>
                <w:sz w:val="24"/>
              </w:rPr>
              <w:t>12.按时开展设备巡检工作，制定详细的巡检记录表，并做好记录；</w:t>
            </w:r>
          </w:p>
          <w:p>
            <w:pPr>
              <w:pStyle w:val="null3"/>
              <w:jc w:val="both"/>
            </w:pPr>
            <w:r>
              <w:rPr>
                <w:rFonts w:ascii="仿宋_GB2312" w:hAnsi="仿宋_GB2312" w:cs="仿宋_GB2312" w:eastAsia="仿宋_GB2312"/>
                <w:sz w:val="24"/>
              </w:rPr>
              <w:t>13.做好每周工作计划及完成情况汇总。</w:t>
            </w:r>
          </w:p>
          <w:p>
            <w:pPr>
              <w:pStyle w:val="null3"/>
              <w:jc w:val="both"/>
            </w:pPr>
            <w:r>
              <w:rPr>
                <w:rFonts w:ascii="仿宋_GB2312" w:hAnsi="仿宋_GB2312" w:cs="仿宋_GB2312" w:eastAsia="仿宋_GB2312"/>
                <w:sz w:val="24"/>
              </w:rPr>
              <w:t>（三）电力系统运维服务内容</w:t>
            </w:r>
          </w:p>
          <w:p>
            <w:pPr>
              <w:pStyle w:val="null3"/>
              <w:jc w:val="both"/>
            </w:pPr>
            <w:r>
              <w:rPr>
                <w:rFonts w:ascii="仿宋_GB2312" w:hAnsi="仿宋_GB2312" w:cs="仿宋_GB2312" w:eastAsia="仿宋_GB2312"/>
                <w:sz w:val="24"/>
              </w:rPr>
              <w:t>1.每年完成1次高压设备预防性试验，聘请具有相关资质的专业检测机构开展高压设备和变压器的预防性试验，完成保护装置、测控装置、主变本体、断路器间隔、配电柜、UPS装置、直流装置、电缆试验以及设备清扫等实验，并出具专业检测报告；</w:t>
            </w:r>
          </w:p>
          <w:p>
            <w:pPr>
              <w:pStyle w:val="null3"/>
              <w:jc w:val="both"/>
            </w:pPr>
            <w:r>
              <w:rPr>
                <w:rFonts w:ascii="仿宋_GB2312" w:hAnsi="仿宋_GB2312" w:cs="仿宋_GB2312" w:eastAsia="仿宋_GB2312"/>
                <w:sz w:val="24"/>
              </w:rPr>
              <w:t>2.完成日常馆区内部电力系统（包括高压、低压、日常运行线路等）的运行、维护与检修；</w:t>
            </w:r>
          </w:p>
          <w:p>
            <w:pPr>
              <w:pStyle w:val="null3"/>
              <w:jc w:val="both"/>
            </w:pPr>
            <w:r>
              <w:rPr>
                <w:rFonts w:ascii="仿宋_GB2312" w:hAnsi="仿宋_GB2312" w:cs="仿宋_GB2312" w:eastAsia="仿宋_GB2312"/>
                <w:sz w:val="24"/>
              </w:rPr>
              <w:t>3.完成1次发电机保养，包括更换机油、滤芯、柴油等。</w:t>
            </w:r>
          </w:p>
          <w:p>
            <w:pPr>
              <w:pStyle w:val="null3"/>
              <w:jc w:val="both"/>
            </w:pPr>
            <w:r>
              <w:rPr>
                <w:rFonts w:ascii="仿宋_GB2312" w:hAnsi="仿宋_GB2312" w:cs="仿宋_GB2312" w:eastAsia="仿宋_GB2312"/>
                <w:sz w:val="24"/>
              </w:rPr>
              <w:t>4.配备专用运维、检修工具；</w:t>
            </w:r>
          </w:p>
          <w:p>
            <w:pPr>
              <w:pStyle w:val="null3"/>
              <w:jc w:val="both"/>
            </w:pPr>
            <w:r>
              <w:rPr>
                <w:rFonts w:ascii="仿宋_GB2312" w:hAnsi="仿宋_GB2312" w:cs="仿宋_GB2312" w:eastAsia="仿宋_GB2312"/>
                <w:sz w:val="24"/>
              </w:rPr>
              <w:t>5.按时开展设备巡检工作，制定详细的巡检记录表，并做好记录；</w:t>
            </w:r>
          </w:p>
          <w:p>
            <w:pPr>
              <w:pStyle w:val="null3"/>
              <w:jc w:val="both"/>
            </w:pPr>
            <w:r>
              <w:rPr>
                <w:rFonts w:ascii="仿宋_GB2312" w:hAnsi="仿宋_GB2312" w:cs="仿宋_GB2312" w:eastAsia="仿宋_GB2312"/>
                <w:sz w:val="24"/>
              </w:rPr>
              <w:t>6.做好每周工作计划及完成情况汇总。</w:t>
            </w:r>
          </w:p>
          <w:p>
            <w:pPr>
              <w:pStyle w:val="null3"/>
              <w:jc w:val="both"/>
            </w:pPr>
            <w:r>
              <w:rPr>
                <w:rFonts w:ascii="仿宋_GB2312" w:hAnsi="仿宋_GB2312" w:cs="仿宋_GB2312" w:eastAsia="仿宋_GB2312"/>
                <w:sz w:val="24"/>
              </w:rPr>
              <w:t>五、服务要求</w:t>
            </w:r>
          </w:p>
          <w:p>
            <w:pPr>
              <w:pStyle w:val="null3"/>
              <w:jc w:val="both"/>
            </w:pPr>
            <w:r>
              <w:rPr>
                <w:rFonts w:ascii="仿宋_GB2312" w:hAnsi="仿宋_GB2312" w:cs="仿宋_GB2312" w:eastAsia="仿宋_GB2312"/>
                <w:sz w:val="24"/>
              </w:rPr>
              <w:t>1.每日出勤时间以甲方通知为准，配合甲方客流高峰时段延长开放工作。</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重要接待、节假日安排值班人员。</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rPr>
              <w:t>其他：本项目为综合单价合同。</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三年，合同一年一签，全年开展运维工作，包含周末和节假日。运维人员工作时间需根据博物馆开放时间决定，每日提前进场启动各类设备，闭馆后设备停止运行后离场。动力及电力夜间需要各一人值班。</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陕西历史博物馆秦汉馆（采购人指定地点）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根据采购文件、响应文件以及合同约定执行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每次付款前，乙方必须开具符合税务及财政要求的全额正式税务发票（增值税专用发票），甲方根据付款审批程序办理，经审批后予以支付。合同签订生效后，甲方收到乙方发票后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合同签订生效6个月后，经甲方验收合格，收到乙方发票后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合同服务期满后，经甲方验收合格，收到乙方发票后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根据采购文件、响应文件以及合同约定执行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保证金退还: 1） 未中标单位：招标结束后，将根据所提供信息退还各投标单位保证金，无需亲自前来办理； 2） 成交单位：在采购合同签订并按规定交纳代理服务费后五个工作日内退还。（办理退保证金：需提供与甲方签订的合同原件的扫描件一份（pdf格式）发送至此邮箱（945990512@qq.cpm）,发送时务必备注项目名称+项目编号，发送成功后告知此联系方式：029-89286620-808）； 中标服务费查询请联系财务部：029-89286620转808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提供经审计的2023年度或2024年度的财务报告或提交投标文件截止时间前六个月内其基本账户开户银行出具的资信证明；其他组织和自然人提供银行出具的资信证明或财务报表；</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提供递交投标文件截止之日前一年内任意一个月的依法缴纳税收的相关凭据，凭据应有税务机关或代收机关的公章或业务专用章。依法免税或无须缴纳税收的投标人应提供相应证明文件；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提供投标文件递交截止日前一年内已缴存的任意一个月的社会保障资金缴存单据或社保机构开具的社会保险参保缴费情况证明，依法不需要缴纳社会保障资金的单位应提供相关证明材料；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纪，以及未被列入失信被执行人、重大税收违法案件当事人名单、政府采购严重违法失信行为记录名单的书面声明；本项目拒绝被列入失信被执行人、重大税收违法案件当事人名单、政府采购严重违法失信行为的供应商参与；</w:t>
            </w:r>
          </w:p>
        </w:tc>
        <w:tc>
          <w:tcPr>
            <w:tcW w:type="dxa" w:w="1661"/>
          </w:tcPr>
          <w:p>
            <w:pPr>
              <w:pStyle w:val="null3"/>
            </w:pPr>
            <w:r>
              <w:rPr>
                <w:rFonts w:ascii="仿宋_GB2312" w:hAnsi="仿宋_GB2312" w:cs="仿宋_GB2312" w:eastAsia="仿宋_GB2312"/>
              </w:rPr>
              <w:t>3.书面声明.docx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具有履行合同所必须的设备和专业技术能力</w:t>
            </w:r>
          </w:p>
        </w:tc>
        <w:tc>
          <w:tcPr>
            <w:tcW w:type="dxa" w:w="3322"/>
          </w:tcPr>
          <w:p>
            <w:pPr>
              <w:pStyle w:val="null3"/>
            </w:pPr>
            <w:r>
              <w:rPr>
                <w:rFonts w:ascii="仿宋_GB2312" w:hAnsi="仿宋_GB2312" w:cs="仿宋_GB2312" w:eastAsia="仿宋_GB2312"/>
              </w:rPr>
              <w:t>具有履行合同所必须的设备和专业技术能力的说明及承诺；</w:t>
            </w:r>
          </w:p>
        </w:tc>
        <w:tc>
          <w:tcPr>
            <w:tcW w:type="dxa" w:w="1661"/>
          </w:tcPr>
          <w:p>
            <w:pPr>
              <w:pStyle w:val="null3"/>
            </w:pPr>
            <w:r>
              <w:rPr>
                <w:rFonts w:ascii="仿宋_GB2312" w:hAnsi="仿宋_GB2312" w:cs="仿宋_GB2312" w:eastAsia="仿宋_GB2312"/>
              </w:rPr>
              <w:t>2.具有履行合同所必须的设备和专业技术能力的说明及承诺.docx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供应商应授权合法的人员参加磋商，其中法定代表人直接参加的，须出具法定代表人证明书；被授权代表参加的，须出具法定代表人授权书 ；</w:t>
            </w:r>
          </w:p>
        </w:tc>
        <w:tc>
          <w:tcPr>
            <w:tcW w:type="dxa" w:w="1661"/>
          </w:tcPr>
          <w:p>
            <w:pPr>
              <w:pStyle w:val="null3"/>
            </w:pPr>
            <w:r>
              <w:rPr>
                <w:rFonts w:ascii="仿宋_GB2312" w:hAnsi="仿宋_GB2312" w:cs="仿宋_GB2312" w:eastAsia="仿宋_GB2312"/>
              </w:rPr>
              <w:t>1.法定代表人证明书与法定代表人授权书.docx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供应商须具备建筑机电安装工程专业承包三级或以上；</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 xml:space="preserve"> 本项目专门面向中小企业采购，供应商应为中小微企业或监狱企业或残疾人福利性单位。供应商为中型、小型、微型企业的，提供《中小企业声明函》；供应商为监狱企业的，应提供监狱企业的证明文件；供应商为残疾人福利性单位的，应提供《残疾人福利性单位声明函》；</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直接控股、管理关系</w:t>
            </w:r>
          </w:p>
        </w:tc>
        <w:tc>
          <w:tcPr>
            <w:tcW w:type="dxa" w:w="3322"/>
          </w:tcPr>
          <w:p>
            <w:pPr>
              <w:pStyle w:val="null3"/>
            </w:pPr>
            <w:r>
              <w:rPr>
                <w:rFonts w:ascii="仿宋_GB2312" w:hAnsi="仿宋_GB2312" w:cs="仿宋_GB2312" w:eastAsia="仿宋_GB2312"/>
              </w:rPr>
              <w:t>单位负责人为同一人或存在直接控股、管理关系的不同单位，不得同时参加本项目投标活动；</w:t>
            </w:r>
          </w:p>
        </w:tc>
        <w:tc>
          <w:tcPr>
            <w:tcW w:type="dxa" w:w="1661"/>
          </w:tcPr>
          <w:p>
            <w:pPr>
              <w:pStyle w:val="null3"/>
            </w:pPr>
            <w:r>
              <w:rPr>
                <w:rFonts w:ascii="仿宋_GB2312" w:hAnsi="仿宋_GB2312" w:cs="仿宋_GB2312" w:eastAsia="仿宋_GB2312"/>
              </w:rPr>
              <w:t>4.供应商企业关系关联承诺书.docx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响应文件有效期符合磋商文件的要求。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均按磋商文件要求签字、盖章（评分标准中要求提供的证明材料除外）。</w:t>
            </w:r>
          </w:p>
        </w:tc>
        <w:tc>
          <w:tcPr>
            <w:tcW w:type="dxa" w:w="1661"/>
          </w:tcPr>
          <w:p>
            <w:pPr>
              <w:pStyle w:val="null3"/>
            </w:pPr>
            <w:r>
              <w:rPr>
                <w:rFonts w:ascii="仿宋_GB2312" w:hAnsi="仿宋_GB2312" w:cs="仿宋_GB2312" w:eastAsia="仿宋_GB2312"/>
              </w:rPr>
              <w:t>响应文件封面 商务及合同主要条款响应说明.docx 服务内容及服务邀请应答表 中小企业声明函 残疾人福利性单位声明函 标的清单 报价表 响应函 5.分项报价表.docx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第一次磋商报价表</w:t>
            </w:r>
          </w:p>
        </w:tc>
        <w:tc>
          <w:tcPr>
            <w:tcW w:type="dxa" w:w="3322"/>
          </w:tcPr>
          <w:p>
            <w:pPr>
              <w:pStyle w:val="null3"/>
            </w:pPr>
            <w:r>
              <w:rPr>
                <w:rFonts w:ascii="仿宋_GB2312" w:hAnsi="仿宋_GB2312" w:cs="仿宋_GB2312" w:eastAsia="仿宋_GB2312"/>
              </w:rPr>
              <w:t>（1）第一次磋商报价表填写符合要求； （2）计量单位、报价货币均符合磋商文件要求； （3）第一次磋商报价未超出采购预算或磋商文件规定的最高限价。</w:t>
            </w:r>
          </w:p>
        </w:tc>
        <w:tc>
          <w:tcPr>
            <w:tcW w:type="dxa" w:w="1661"/>
          </w:tcPr>
          <w:p>
            <w:pPr>
              <w:pStyle w:val="null3"/>
            </w:pPr>
            <w:r>
              <w:rPr>
                <w:rFonts w:ascii="仿宋_GB2312" w:hAnsi="仿宋_GB2312" w:cs="仿宋_GB2312" w:eastAsia="仿宋_GB2312"/>
              </w:rPr>
              <w:t>标的清单 报价表 5.分项报价表.docx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技术服务要求</w:t>
            </w:r>
          </w:p>
        </w:tc>
        <w:tc>
          <w:tcPr>
            <w:tcW w:type="dxa" w:w="3322"/>
          </w:tcPr>
          <w:p>
            <w:pPr>
              <w:pStyle w:val="null3"/>
            </w:pPr>
            <w:r>
              <w:rPr>
                <w:rFonts w:ascii="仿宋_GB2312" w:hAnsi="仿宋_GB2312" w:cs="仿宋_GB2312" w:eastAsia="仿宋_GB2312"/>
              </w:rPr>
              <w:t>完全理解并接受对合格供应商、合格的货物、工程或服务要求，根据供应商响应文件《服务内容及服务邀请应答表》，结合磋商文件第三章“★”标识的实质性要求没有负偏离。</w:t>
            </w:r>
          </w:p>
        </w:tc>
        <w:tc>
          <w:tcPr>
            <w:tcW w:type="dxa" w:w="1661"/>
          </w:tcPr>
          <w:p>
            <w:pPr>
              <w:pStyle w:val="null3"/>
            </w:pPr>
            <w:r>
              <w:rPr>
                <w:rFonts w:ascii="仿宋_GB2312" w:hAnsi="仿宋_GB2312" w:cs="仿宋_GB2312" w:eastAsia="仿宋_GB2312"/>
              </w:rPr>
              <w:t>服务内容及服务邀请应答表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无其他磋商文件或法规明确规定响应无效的事项</w:t>
            </w:r>
          </w:p>
        </w:tc>
        <w:tc>
          <w:tcPr>
            <w:tcW w:type="dxa" w:w="3322"/>
          </w:tcPr>
          <w:p>
            <w:pPr>
              <w:pStyle w:val="null3"/>
            </w:pPr>
            <w:r>
              <w:rPr>
                <w:rFonts w:ascii="仿宋_GB2312" w:hAnsi="仿宋_GB2312" w:cs="仿宋_GB2312" w:eastAsia="仿宋_GB2312"/>
              </w:rPr>
              <w:t>没有不符合磋商文件规定的被视为无效响应的其他条款。</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合同条款响应</w:t>
            </w:r>
          </w:p>
        </w:tc>
        <w:tc>
          <w:tcPr>
            <w:tcW w:type="dxa" w:w="3322"/>
          </w:tcPr>
          <w:p>
            <w:pPr>
              <w:pStyle w:val="null3"/>
            </w:pPr>
            <w:r>
              <w:rPr>
                <w:rFonts w:ascii="仿宋_GB2312" w:hAnsi="仿宋_GB2312" w:cs="仿宋_GB2312" w:eastAsia="仿宋_GB2312"/>
              </w:rPr>
              <w:t>有完全理解并接受磋商文件合同基本条款要求的描述。</w:t>
            </w:r>
          </w:p>
        </w:tc>
        <w:tc>
          <w:tcPr>
            <w:tcW w:type="dxa" w:w="1661"/>
          </w:tcPr>
          <w:p>
            <w:pPr>
              <w:pStyle w:val="null3"/>
            </w:pPr>
            <w:r>
              <w:rPr>
                <w:rFonts w:ascii="仿宋_GB2312" w:hAnsi="仿宋_GB2312" w:cs="仿宋_GB2312" w:eastAsia="仿宋_GB2312"/>
              </w:rPr>
              <w:t>商务及合同主要条款响应说明.docx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需求理解</w:t>
            </w:r>
          </w:p>
        </w:tc>
        <w:tc>
          <w:tcPr>
            <w:tcW w:type="dxa" w:w="2492"/>
          </w:tcPr>
          <w:p>
            <w:pPr>
              <w:pStyle w:val="null3"/>
            </w:pPr>
            <w:r>
              <w:rPr>
                <w:rFonts w:ascii="仿宋_GB2312" w:hAnsi="仿宋_GB2312" w:cs="仿宋_GB2312" w:eastAsia="仿宋_GB2312"/>
              </w:rPr>
              <w:t>供应商对本项目背景、项目需求、项目目标等方面理解全面、准确，符合本项目运维服务总体要求。 1、对采购需求理解全面详尽准确计5分； 2、对采购需求理解合理，满足项目需求计3分； 3、对采购需求理解简单，适用性一般计1分；未提供的不计分。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整体运维服务方案</w:t>
            </w:r>
          </w:p>
        </w:tc>
        <w:tc>
          <w:tcPr>
            <w:tcW w:type="dxa" w:w="2492"/>
          </w:tcPr>
          <w:p>
            <w:pPr>
              <w:pStyle w:val="null3"/>
            </w:pPr>
            <w:r>
              <w:rPr>
                <w:rFonts w:ascii="仿宋_GB2312" w:hAnsi="仿宋_GB2312" w:cs="仿宋_GB2312" w:eastAsia="仿宋_GB2312"/>
              </w:rPr>
              <w:t>供应商提供针对本项目整体运维服务方案，服务方案全面、详细，包括但不限于：详细的组织机构和架构、工作计划、人员配备、保障能力及故障响应等内容。 1、方案完整、科学合理可行，清晰明确，针对性强，计15分； 2、方案完整、可行，有针对性，计12分； 3、方案较完整、可行，有一定针对性，计7分； 4、方案较完整、可行，但不具有针对性，计 4分； 5、方案内容欠缺、不利于项目实施，计2分；未提供的不计分。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日常巡检维护方案</w:t>
            </w:r>
          </w:p>
        </w:tc>
        <w:tc>
          <w:tcPr>
            <w:tcW w:type="dxa" w:w="2492"/>
          </w:tcPr>
          <w:p>
            <w:pPr>
              <w:pStyle w:val="null3"/>
            </w:pPr>
            <w:r>
              <w:rPr>
                <w:rFonts w:ascii="仿宋_GB2312" w:hAnsi="仿宋_GB2312" w:cs="仿宋_GB2312" w:eastAsia="仿宋_GB2312"/>
              </w:rPr>
              <w:t>供应商提供针对本项目日常巡检维护方案，包含巡检台账制度、巡检维护时间安排、巡检过程中的问题解决措施方面等。 1、方案完整、科学合理可行，清晰明确，针对性强，计15分； 2、方案完整、可行，有针对性，计12分； 3、方案较完整、可行，有一定针对性，计7分； 4、方案较完整、可行，但不具有针对性，计4分； 5、方案内容欠缺、不利于项目实施，计2分；未提供不计分。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应急措施和解决方案</w:t>
            </w:r>
          </w:p>
        </w:tc>
        <w:tc>
          <w:tcPr>
            <w:tcW w:type="dxa" w:w="2492"/>
          </w:tcPr>
          <w:p>
            <w:pPr>
              <w:pStyle w:val="null3"/>
            </w:pPr>
            <w:r>
              <w:rPr>
                <w:rFonts w:ascii="仿宋_GB2312" w:hAnsi="仿宋_GB2312" w:cs="仿宋_GB2312" w:eastAsia="仿宋_GB2312"/>
              </w:rPr>
              <w:t>供应商针对本项目在维保期间可能出现的突发事件有具体可行的应急措施和解决方案。 1、方案详尽、全面、有效、合理，可实施性强，计10分； 2、方案较详尽、有效、基本合理，计7分； 3、方案不合理，与实际需求不匹配，计3分；未提供不计分。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资料管理方案</w:t>
            </w:r>
          </w:p>
        </w:tc>
        <w:tc>
          <w:tcPr>
            <w:tcW w:type="dxa" w:w="2492"/>
          </w:tcPr>
          <w:p>
            <w:pPr>
              <w:pStyle w:val="null3"/>
            </w:pPr>
            <w:r>
              <w:rPr>
                <w:rFonts w:ascii="仿宋_GB2312" w:hAnsi="仿宋_GB2312" w:cs="仿宋_GB2312" w:eastAsia="仿宋_GB2312"/>
              </w:rPr>
              <w:t>供应商针对本项目采购需求，制定详细的资料管理方案。保证采购人对资料管理要求。 1、方案完整、详尽、有效、对实际需求有提升，计10分； 2、方案基本合理、可实施性一般，计7分； 3、方案不合理，与实际需求不匹配，计3分；未提供不计分。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提供拟派往本项目的管理及技术人员作业证件，根据项目组人员配备的合理程度和人员执业能力赋分，并提供相关证明材料。 1、人员配备满足或优于磋商文件要求，作业证件材料齐全，计8分； 2、人员配备满足磋商文件要求，作业证件材料基本齐全，计5分； 3、人员配备不齐全，计2分；人员配备不全，和本项目需求不符计1分，未提供不计分。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工具仪器</w:t>
            </w:r>
          </w:p>
        </w:tc>
        <w:tc>
          <w:tcPr>
            <w:tcW w:type="dxa" w:w="2492"/>
          </w:tcPr>
          <w:p>
            <w:pPr>
              <w:pStyle w:val="null3"/>
            </w:pPr>
            <w:r>
              <w:rPr>
                <w:rFonts w:ascii="仿宋_GB2312" w:hAnsi="仿宋_GB2312" w:cs="仿宋_GB2312" w:eastAsia="仿宋_GB2312"/>
              </w:rPr>
              <w:t>供应商针对本项目拟投入维保工具仪器、检测设备的配备情况（数量、功能等）进行说明。 1、功能配备合理，辅助设备配备品种多、功能全，计5分； 2、功能配备基本合理，辅助设备配备品种较多、功能基本齐全，计3分； 3、功能配备不合理，辅助设备配备一般、功能不全，计1分；未提供不计分。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提供供应商2022年6月1日至今（以合同签订时间为准），供应商具有类似服务业绩的，每提供一份计2分，满分10分。 备注：响应文件中提供合同复印件加盖公章。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6.业绩.docx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供应商针对本项目须确保项目能按时、按质、完成，并提供包含达到预期效果的服务承诺和保证措施，且有具体的技术服务措施、后期跟进服务能力。 1、承诺合理全面、操作性强，计7分； 2、承诺基本合理、具备操作性，计4分； 3、承诺不合理、不符合项目特点，计1分；未提供不计分。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供应商针对设备的日常使用、维护保养方法，能够提出有价值的建议。 1、具体切实可行，计5分； 2、基本合理、可行，计3分； 3、与项目不符，计1分；未提供不计分。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价格分统一采用低价优先法计算，即满足磋商文件要求且磋商价格最低的磋商报价为磋商基准价，其价格分为满分。其他供应商的价格分统一按照下列公式计算： 磋商报价得分=(磋商基准价／磋商报价)×价格权值×100 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详见附件：1.法定代表人证明书与法定代表人授权书.docx</w:t>
      </w:r>
    </w:p>
    <w:p>
      <w:pPr>
        <w:pStyle w:val="null3"/>
        <w:ind w:firstLine="960"/>
      </w:pPr>
      <w:r>
        <w:rPr>
          <w:rFonts w:ascii="仿宋_GB2312" w:hAnsi="仿宋_GB2312" w:cs="仿宋_GB2312" w:eastAsia="仿宋_GB2312"/>
        </w:rPr>
        <w:t>详见附件：2.具有履行合同所必须的设备和专业技术能力的说明及承诺.docx</w:t>
      </w:r>
    </w:p>
    <w:p>
      <w:pPr>
        <w:pStyle w:val="null3"/>
        <w:ind w:firstLine="960"/>
      </w:pPr>
      <w:r>
        <w:rPr>
          <w:rFonts w:ascii="仿宋_GB2312" w:hAnsi="仿宋_GB2312" w:cs="仿宋_GB2312" w:eastAsia="仿宋_GB2312"/>
        </w:rPr>
        <w:t>详见附件：3.书面声明.docx</w:t>
      </w:r>
    </w:p>
    <w:p>
      <w:pPr>
        <w:pStyle w:val="null3"/>
        <w:ind w:firstLine="960"/>
      </w:pPr>
      <w:r>
        <w:rPr>
          <w:rFonts w:ascii="仿宋_GB2312" w:hAnsi="仿宋_GB2312" w:cs="仿宋_GB2312" w:eastAsia="仿宋_GB2312"/>
        </w:rPr>
        <w:t>详见附件：4.供应商企业关系关联承诺书.docx</w:t>
      </w:r>
    </w:p>
    <w:p>
      <w:pPr>
        <w:pStyle w:val="null3"/>
        <w:ind w:firstLine="960"/>
      </w:pPr>
      <w:r>
        <w:rPr>
          <w:rFonts w:ascii="仿宋_GB2312" w:hAnsi="仿宋_GB2312" w:cs="仿宋_GB2312" w:eastAsia="仿宋_GB2312"/>
        </w:rPr>
        <w:t>详见附件：5.分项报价表.docx</w:t>
      </w:r>
    </w:p>
    <w:p>
      <w:pPr>
        <w:pStyle w:val="null3"/>
        <w:ind w:firstLine="960"/>
      </w:pPr>
      <w:r>
        <w:rPr>
          <w:rFonts w:ascii="仿宋_GB2312" w:hAnsi="仿宋_GB2312" w:cs="仿宋_GB2312" w:eastAsia="仿宋_GB2312"/>
        </w:rPr>
        <w:t>详见附件：6.业绩.docx</w:t>
      </w:r>
    </w:p>
    <w:p>
      <w:pPr>
        <w:pStyle w:val="null3"/>
        <w:ind w:firstLine="960"/>
      </w:pPr>
      <w:r>
        <w:rPr>
          <w:rFonts w:ascii="仿宋_GB2312" w:hAnsi="仿宋_GB2312" w:cs="仿宋_GB2312" w:eastAsia="仿宋_GB2312"/>
        </w:rPr>
        <w:t>详见附件：商务及合同主要条款响应说明.docx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详见附件：商务及合同主要条款.docx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