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0732F8">
      <w:pPr>
        <w:autoSpaceDE w:val="0"/>
        <w:autoSpaceDN w:val="0"/>
        <w:spacing w:line="300" w:lineRule="exact"/>
        <w:jc w:val="left"/>
        <w:rPr>
          <w:color w:val="000000"/>
          <w:sz w:val="30"/>
          <w:szCs w:val="22"/>
        </w:rPr>
      </w:pPr>
    </w:p>
    <w:p w14:paraId="069DDBBF">
      <w:pPr>
        <w:spacing w:line="360" w:lineRule="auto"/>
        <w:jc w:val="left"/>
        <w:rPr>
          <w:rFonts w:hint="eastAsia" w:ascii="宋体" w:hAnsi="宋体" w:cs="宋体"/>
          <w:b/>
          <w:bCs/>
          <w:sz w:val="30"/>
          <w:szCs w:val="30"/>
        </w:rPr>
      </w:pPr>
    </w:p>
    <w:p w14:paraId="6D3297BA">
      <w:pPr>
        <w:spacing w:line="240" w:lineRule="auto"/>
        <w:jc w:val="center"/>
        <w:rPr>
          <w:rFonts w:hint="eastAsia" w:ascii="宋体" w:hAnsi="宋体" w:cs="宋体"/>
          <w:b/>
          <w:bCs/>
          <w:sz w:val="30"/>
          <w:szCs w:val="30"/>
        </w:rPr>
      </w:pPr>
    </w:p>
    <w:p w14:paraId="0DE134D6">
      <w:pPr>
        <w:spacing w:line="240" w:lineRule="auto"/>
        <w:jc w:val="center"/>
        <w:rPr>
          <w:rFonts w:hint="default" w:ascii="宋体" w:hAnsi="宋体" w:eastAsia="宋体" w:cs="宋体"/>
          <w:b/>
          <w:bCs/>
          <w:sz w:val="52"/>
          <w:szCs w:val="52"/>
          <w:lang w:val="en-US" w:eastAsia="zh-CN"/>
        </w:rPr>
      </w:pPr>
      <w:r>
        <w:rPr>
          <w:rFonts w:hint="eastAsia" w:ascii="宋体" w:hAnsi="宋体" w:cs="宋体"/>
          <w:b/>
          <w:bCs/>
          <w:sz w:val="52"/>
          <w:szCs w:val="52"/>
          <w:lang w:val="en-US" w:eastAsia="zh-CN"/>
        </w:rPr>
        <w:t>陕西省计量科学研究院</w:t>
      </w:r>
    </w:p>
    <w:p w14:paraId="03D03320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  <w:lang w:val="en-US" w:eastAsia="zh-CN"/>
        </w:rPr>
        <w:t>XXX</w:t>
      </w:r>
      <w:r>
        <w:rPr>
          <w:rFonts w:hint="eastAsia" w:ascii="宋体" w:hAnsi="宋体" w:cs="宋体"/>
          <w:b/>
          <w:bCs/>
          <w:sz w:val="52"/>
          <w:szCs w:val="52"/>
        </w:rPr>
        <w:t>项目</w:t>
      </w:r>
    </w:p>
    <w:p w14:paraId="55516AF0">
      <w:pPr>
        <w:pStyle w:val="5"/>
        <w:rPr>
          <w:rFonts w:hint="eastAsia"/>
        </w:rPr>
      </w:pPr>
    </w:p>
    <w:p w14:paraId="0A78BADE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</w:p>
    <w:p w14:paraId="00A9AB05">
      <w:pPr>
        <w:spacing w:line="240" w:lineRule="auto"/>
        <w:jc w:val="center"/>
        <w:rPr>
          <w:rFonts w:hint="eastAsia" w:ascii="宋体" w:hAnsi="宋体" w:cs="宋体"/>
          <w:b/>
          <w:bCs/>
          <w:color w:val="000000"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合同编号：</w:t>
      </w:r>
    </w:p>
    <w:p w14:paraId="2A510FF5">
      <w:pPr>
        <w:spacing w:line="240" w:lineRule="auto"/>
        <w:rPr>
          <w:rFonts w:hint="eastAsia" w:ascii="宋体" w:hAnsi="宋体" w:cs="宋体"/>
          <w:b/>
          <w:bCs/>
          <w:color w:val="000000"/>
          <w:sz w:val="44"/>
          <w:szCs w:val="44"/>
        </w:rPr>
      </w:pPr>
    </w:p>
    <w:p w14:paraId="0DFC310D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供</w:t>
      </w:r>
    </w:p>
    <w:p w14:paraId="6B3343D0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货</w:t>
      </w:r>
    </w:p>
    <w:p w14:paraId="5C674171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合</w:t>
      </w:r>
    </w:p>
    <w:p w14:paraId="352D543D">
      <w:pPr>
        <w:spacing w:line="240" w:lineRule="auto"/>
        <w:jc w:val="center"/>
        <w:rPr>
          <w:rFonts w:hint="eastAsia"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同</w:t>
      </w:r>
    </w:p>
    <w:p w14:paraId="5560C0F7">
      <w:pPr>
        <w:spacing w:line="240" w:lineRule="auto"/>
        <w:ind w:firstLine="3962" w:firstLineChars="897"/>
        <w:rPr>
          <w:rFonts w:hint="eastAsia" w:ascii="宋体" w:hAnsi="宋体" w:cs="宋体"/>
          <w:b/>
          <w:bCs/>
          <w:sz w:val="44"/>
          <w:szCs w:val="44"/>
        </w:rPr>
      </w:pPr>
    </w:p>
    <w:p w14:paraId="02BCFCF2">
      <w:pPr>
        <w:rPr>
          <w:rFonts w:hint="eastAsia" w:ascii="宋体" w:hAnsi="宋体"/>
        </w:rPr>
      </w:pPr>
    </w:p>
    <w:p w14:paraId="59E43E57">
      <w:pPr>
        <w:pStyle w:val="5"/>
        <w:rPr>
          <w:rFonts w:hint="eastAsia"/>
        </w:rPr>
      </w:pPr>
    </w:p>
    <w:p w14:paraId="000E649C">
      <w:pPr>
        <w:spacing w:line="240" w:lineRule="auto"/>
        <w:jc w:val="left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0"/>
          <w:szCs w:val="30"/>
        </w:rPr>
        <w:t xml:space="preserve">              </w:t>
      </w:r>
      <w:r>
        <w:rPr>
          <w:rFonts w:hint="eastAsia" w:ascii="宋体" w:hAnsi="宋体" w:cs="宋体"/>
          <w:b/>
          <w:bCs/>
          <w:sz w:val="36"/>
          <w:szCs w:val="36"/>
        </w:rPr>
        <w:t>甲方：</w:t>
      </w:r>
    </w:p>
    <w:p w14:paraId="331514D3">
      <w:pPr>
        <w:spacing w:line="240" w:lineRule="auto"/>
        <w:jc w:val="left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 xml:space="preserve">            乙方： </w:t>
      </w:r>
    </w:p>
    <w:p w14:paraId="77DFE6C1">
      <w:pPr>
        <w:spacing w:line="240" w:lineRule="auto"/>
        <w:jc w:val="center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0"/>
          <w:szCs w:val="30"/>
        </w:rPr>
        <w:t xml:space="preserve">   </w:t>
      </w:r>
      <w:r>
        <w:rPr>
          <w:rFonts w:hint="eastAsia" w:ascii="宋体" w:hAnsi="宋体" w:cs="宋体"/>
          <w:b/>
          <w:bCs/>
          <w:sz w:val="36"/>
          <w:szCs w:val="36"/>
        </w:rPr>
        <w:t xml:space="preserve"> 二零二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五</w:t>
      </w:r>
      <w:r>
        <w:rPr>
          <w:rFonts w:hint="eastAsia" w:ascii="宋体" w:hAnsi="宋体" w:cs="宋体"/>
          <w:b/>
          <w:bCs/>
          <w:sz w:val="36"/>
          <w:szCs w:val="36"/>
        </w:rPr>
        <w:t>年  月</w:t>
      </w:r>
    </w:p>
    <w:p w14:paraId="23C5AC95">
      <w:pPr>
        <w:spacing w:line="460" w:lineRule="exact"/>
        <w:rPr>
          <w:rFonts w:hint="eastAsia" w:ascii="宋体" w:hAnsi="宋体" w:cs="宋体"/>
          <w:bCs/>
          <w:sz w:val="24"/>
        </w:rPr>
      </w:pPr>
    </w:p>
    <w:p w14:paraId="2EF74A37">
      <w:pPr>
        <w:spacing w:line="460" w:lineRule="exact"/>
        <w:rPr>
          <w:rFonts w:hint="eastAsia" w:ascii="宋体" w:hAnsi="宋体" w:cs="宋体"/>
          <w:bCs/>
          <w:sz w:val="24"/>
        </w:rPr>
      </w:pPr>
    </w:p>
    <w:p w14:paraId="64A25F24">
      <w:pPr>
        <w:pStyle w:val="5"/>
        <w:rPr>
          <w:rFonts w:hint="eastAsia"/>
        </w:rPr>
      </w:pPr>
    </w:p>
    <w:p w14:paraId="373A58BA">
      <w:pPr>
        <w:spacing w:line="420" w:lineRule="exact"/>
        <w:rPr>
          <w:rFonts w:ascii="宋体" w:hAnsi="宋体" w:cs="宋体"/>
          <w:b/>
          <w:bCs/>
          <w:sz w:val="24"/>
          <w:u w:val="single"/>
        </w:rPr>
      </w:pPr>
      <w:r>
        <w:rPr>
          <w:rFonts w:hint="eastAsia" w:ascii="宋体" w:hAnsi="宋体" w:cs="宋体"/>
          <w:bCs/>
          <w:sz w:val="24"/>
        </w:rPr>
        <w:t>项目名称：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   </w:t>
      </w:r>
    </w:p>
    <w:p w14:paraId="17EDC41A">
      <w:pPr>
        <w:spacing w:line="420" w:lineRule="exact"/>
        <w:rPr>
          <w:rFonts w:ascii="宋体" w:hAnsi="宋体" w:cs="宋体"/>
          <w:b/>
          <w:bCs/>
          <w:sz w:val="24"/>
          <w:u w:val="single"/>
        </w:rPr>
      </w:pPr>
      <w:r>
        <w:rPr>
          <w:rFonts w:hint="eastAsia" w:ascii="宋体" w:hAnsi="宋体" w:cs="宋体"/>
          <w:bCs/>
          <w:sz w:val="24"/>
        </w:rPr>
        <w:t xml:space="preserve">甲  方： </w:t>
      </w:r>
      <w:r>
        <w:rPr>
          <w:rFonts w:hint="eastAsia" w:ascii="宋体" w:hAnsi="宋体" w:cs="宋体"/>
          <w:bCs/>
          <w:sz w:val="24"/>
          <w:u w:val="single"/>
        </w:rPr>
        <w:t xml:space="preserve">                   </w:t>
      </w:r>
    </w:p>
    <w:p w14:paraId="5B538778">
      <w:pPr>
        <w:spacing w:line="420" w:lineRule="exac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Cs/>
          <w:sz w:val="24"/>
        </w:rPr>
        <w:t>乙  方：</w:t>
      </w:r>
      <w:r>
        <w:rPr>
          <w:rFonts w:hint="eastAsia" w:ascii="宋体" w:hAnsi="宋体" w:cs="宋体"/>
          <w:b/>
          <w:bCs/>
          <w:sz w:val="24"/>
          <w:u w:val="single"/>
        </w:rPr>
        <w:t xml:space="preserve">                     </w:t>
      </w:r>
    </w:p>
    <w:p w14:paraId="1EF0EFDE">
      <w:pPr>
        <w:spacing w:line="420" w:lineRule="exact"/>
        <w:rPr>
          <w:rFonts w:ascii="宋体" w:hAnsi="宋体" w:cs="宋体"/>
          <w:b/>
          <w:bCs/>
          <w:sz w:val="24"/>
        </w:rPr>
      </w:pPr>
      <w:r>
        <w:rPr>
          <w:rFonts w:hint="eastAsia" w:ascii="宋体" w:hAnsi="宋体" w:cs="宋体"/>
          <w:bCs/>
          <w:sz w:val="24"/>
        </w:rPr>
        <w:t>采购代理机构：</w:t>
      </w:r>
      <w:r>
        <w:rPr>
          <w:rFonts w:hint="eastAsia" w:ascii="宋体" w:hAnsi="宋体" w:cs="宋体"/>
          <w:b/>
          <w:sz w:val="24"/>
          <w:u w:val="single"/>
        </w:rPr>
        <w:t xml:space="preserve">                  </w:t>
      </w:r>
    </w:p>
    <w:p w14:paraId="475E488E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一、甲、乙双方依据采购代理机构中标通知书相关内容,订立本合同。</w:t>
      </w:r>
    </w:p>
    <w:p w14:paraId="46A371CA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二、甲、乙双方根据《中华人民共和国民法典》以及《中华人民共和国政府采购法》等相关法律，遵循自愿、公平、诚信原则，签订本合同。</w:t>
      </w:r>
    </w:p>
    <w:p w14:paraId="4922757E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三、标的物及数量、质量、规格型号、技术指标等，填制《供货清单》（后附附件）。</w:t>
      </w:r>
    </w:p>
    <w:p w14:paraId="3661B2BC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>四、合同价款与结算方式</w:t>
      </w:r>
    </w:p>
    <w:p w14:paraId="26B4C1B2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kern w:val="0"/>
          <w:sz w:val="24"/>
        </w:rPr>
      </w:pPr>
      <w:r>
        <w:rPr>
          <w:rFonts w:hint="eastAsia" w:ascii="宋体" w:hAnsi="宋体" w:cs="宋体"/>
          <w:b/>
          <w:bCs/>
          <w:kern w:val="0"/>
          <w:sz w:val="24"/>
        </w:rPr>
        <w:t xml:space="preserve">    1. 合同价款</w:t>
      </w:r>
    </w:p>
    <w:p w14:paraId="7F2B0490">
      <w:pPr>
        <w:tabs>
          <w:tab w:val="left" w:pos="1155"/>
        </w:tabs>
        <w:overflowPunct w:val="0"/>
        <w:topLinePunct/>
        <w:adjustRightInd w:val="0"/>
        <w:spacing w:line="420" w:lineRule="exact"/>
        <w:ind w:firstLine="360" w:firstLineChars="150"/>
        <w:rPr>
          <w:rFonts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 xml:space="preserve"> 1.1合同总价款为人民币（大写）：</w:t>
      </w:r>
      <w:r>
        <w:rPr>
          <w:rFonts w:hint="eastAsia" w:ascii="宋体" w:hAnsi="宋体" w:cs="宋体"/>
          <w:b/>
          <w:bCs/>
          <w:color w:val="000000"/>
          <w:sz w:val="24"/>
          <w:u w:val="single"/>
        </w:rPr>
        <w:t xml:space="preserve">     </w:t>
      </w:r>
      <w:r>
        <w:rPr>
          <w:rFonts w:hint="eastAsia" w:ascii="宋体" w:hAnsi="宋体" w:cs="宋体"/>
          <w:b/>
          <w:bCs/>
          <w:sz w:val="24"/>
          <w:u w:val="single"/>
        </w:rPr>
        <w:t>整</w:t>
      </w:r>
      <w:r>
        <w:rPr>
          <w:rFonts w:hint="eastAsia" w:ascii="宋体" w:hAnsi="宋体" w:cs="宋体"/>
          <w:bCs/>
          <w:kern w:val="0"/>
          <w:sz w:val="24"/>
          <w:u w:val="single"/>
        </w:rPr>
        <w:t xml:space="preserve"> </w:t>
      </w:r>
      <w:r>
        <w:rPr>
          <w:rFonts w:hint="eastAsia" w:ascii="宋体" w:hAnsi="宋体" w:cs="宋体"/>
          <w:b/>
          <w:bCs/>
          <w:kern w:val="0"/>
          <w:sz w:val="24"/>
          <w:u w:val="single"/>
        </w:rPr>
        <w:t>（小写：¥    万元</w:t>
      </w:r>
      <w:r>
        <w:rPr>
          <w:rFonts w:hint="eastAsia" w:ascii="宋体" w:hAnsi="宋体" w:cs="宋体"/>
          <w:bCs/>
          <w:kern w:val="0"/>
          <w:sz w:val="24"/>
        </w:rPr>
        <w:t>），此金额为含税金额。</w:t>
      </w:r>
    </w:p>
    <w:p w14:paraId="6FE26F86">
      <w:pPr>
        <w:tabs>
          <w:tab w:val="left" w:pos="1155"/>
        </w:tabs>
        <w:overflowPunct w:val="0"/>
        <w:topLinePunct/>
        <w:adjustRightInd w:val="0"/>
        <w:spacing w:line="420" w:lineRule="exact"/>
        <w:ind w:firstLine="360" w:firstLineChars="150"/>
        <w:rPr>
          <w:rFonts w:ascii="宋体" w:hAnsi="宋体" w:cs="宋体"/>
          <w:bCs/>
          <w:color w:val="000000"/>
          <w:kern w:val="0"/>
          <w:sz w:val="24"/>
          <w:u w:val="single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1.2合同价款</w:t>
      </w:r>
      <w:r>
        <w:rPr>
          <w:rFonts w:hint="eastAsia"/>
        </w:rPr>
        <w:t>为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固定价格，不受市场价格变化因素的影响。</w:t>
      </w:r>
    </w:p>
    <w:p w14:paraId="70604BCB">
      <w:pPr>
        <w:tabs>
          <w:tab w:val="left" w:pos="1155"/>
        </w:tabs>
        <w:overflowPunct w:val="0"/>
        <w:topLinePunct/>
        <w:adjustRightInd w:val="0"/>
        <w:spacing w:line="420" w:lineRule="exact"/>
        <w:ind w:firstLine="360" w:firstLineChars="150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1.3合同总价包括但不限于货物的保证、运输、装卸、安装、保险、检验检测、验收及合同包含的所有风险与责任、政策性文件规定的各项应有一切费用及其它相关的费用。</w:t>
      </w:r>
    </w:p>
    <w:p w14:paraId="2BE4B753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  <w:highlight w:val="yellow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</w:t>
      </w: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2. 结算方式</w:t>
      </w:r>
    </w:p>
    <w:p w14:paraId="72F2F398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  <w:u w:val="single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2.1 </w:t>
      </w:r>
      <w:r>
        <w:rPr>
          <w:rFonts w:hint="eastAsia" w:ascii="宋体" w:hAnsi="宋体" w:cs="宋体"/>
          <w:color w:val="000000"/>
          <w:sz w:val="24"/>
        </w:rPr>
        <w:t>合同签订后30日内支付合同总价款</w:t>
      </w:r>
      <w:r>
        <w:rPr>
          <w:rFonts w:ascii="宋体" w:hAnsi="宋体" w:cs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u w:val="single"/>
          <w:lang w:val="en-US" w:eastAsia="zh-CN"/>
        </w:rPr>
        <w:t>5</w:t>
      </w:r>
      <w:r>
        <w:rPr>
          <w:rFonts w:hint="eastAsia" w:ascii="宋体" w:hAnsi="宋体" w:cs="宋体"/>
          <w:color w:val="000000"/>
          <w:sz w:val="24"/>
          <w:u w:val="single"/>
        </w:rPr>
        <w:t>0</w:t>
      </w:r>
      <w:r>
        <w:rPr>
          <w:rFonts w:ascii="宋体" w:hAnsi="宋体" w:cs="宋体"/>
          <w:color w:val="000000"/>
          <w:sz w:val="24"/>
          <w:u w:val="single"/>
        </w:rPr>
        <w:t xml:space="preserve">% </w:t>
      </w:r>
      <w:r>
        <w:rPr>
          <w:rFonts w:hint="eastAsia" w:ascii="宋体" w:hAnsi="宋体" w:cs="宋体"/>
          <w:color w:val="000000"/>
          <w:sz w:val="24"/>
        </w:rPr>
        <w:t>的款项作为预付款；</w:t>
      </w:r>
    </w:p>
    <w:p w14:paraId="7D1D96C8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2.2 </w:t>
      </w:r>
      <w:r>
        <w:rPr>
          <w:rFonts w:hint="eastAsia" w:ascii="宋体" w:hAnsi="宋体" w:cs="宋体"/>
          <w:color w:val="000000"/>
          <w:sz w:val="24"/>
        </w:rPr>
        <w:t>所有设备供货到位，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经初步验收合格后</w:t>
      </w:r>
      <w:r>
        <w:rPr>
          <w:rFonts w:hint="eastAsia" w:ascii="宋体" w:hAnsi="宋体" w:cs="宋体"/>
          <w:color w:val="000000"/>
          <w:sz w:val="24"/>
        </w:rPr>
        <w:t>30日内支付合同总价款</w:t>
      </w:r>
      <w:r>
        <w:rPr>
          <w:rFonts w:ascii="宋体" w:hAnsi="宋体" w:cs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u w:val="single"/>
        </w:rPr>
        <w:t>30</w:t>
      </w:r>
      <w:r>
        <w:rPr>
          <w:rFonts w:ascii="宋体" w:hAnsi="宋体" w:cs="宋体"/>
          <w:color w:val="000000"/>
          <w:sz w:val="24"/>
          <w:u w:val="single"/>
        </w:rPr>
        <w:t xml:space="preserve">% </w:t>
      </w:r>
      <w:r>
        <w:rPr>
          <w:rFonts w:hint="eastAsia" w:ascii="宋体" w:hAnsi="宋体" w:cs="宋体"/>
          <w:color w:val="000000"/>
          <w:sz w:val="24"/>
        </w:rPr>
        <w:t>的款项；</w:t>
      </w:r>
    </w:p>
    <w:p w14:paraId="2A006A2F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2.3 </w:t>
      </w:r>
      <w:r>
        <w:rPr>
          <w:rFonts w:hint="eastAsia" w:ascii="宋体" w:hAnsi="宋体" w:cs="宋体"/>
          <w:bCs/>
          <w:color w:val="000000"/>
          <w:kern w:val="0"/>
          <w:sz w:val="24"/>
          <w:lang w:val="en-US" w:eastAsia="zh-CN"/>
        </w:rPr>
        <w:t>所有设备</w:t>
      </w:r>
      <w:r>
        <w:rPr>
          <w:rFonts w:hint="eastAsia" w:ascii="宋体" w:hAnsi="宋体" w:cs="宋体"/>
          <w:color w:val="000000"/>
          <w:sz w:val="24"/>
        </w:rPr>
        <w:t>安装、调试、培训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完成</w:t>
      </w:r>
      <w:r>
        <w:rPr>
          <w:rFonts w:hint="eastAsia" w:ascii="宋体" w:hAnsi="宋体" w:cs="宋体"/>
          <w:color w:val="000000"/>
          <w:sz w:val="24"/>
        </w:rPr>
        <w:t>后</w:t>
      </w:r>
      <w:r>
        <w:rPr>
          <w:rFonts w:hint="eastAsia" w:ascii="宋体" w:hAnsi="宋体" w:cs="宋体"/>
          <w:color w:val="000000"/>
          <w:sz w:val="24"/>
          <w:lang w:eastAsia="zh-CN"/>
        </w:rPr>
        <w:t>，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经</w:t>
      </w:r>
      <w:r>
        <w:rPr>
          <w:rFonts w:hint="eastAsia" w:ascii="宋体" w:hAnsi="宋体" w:cs="宋体"/>
          <w:color w:val="000000"/>
          <w:sz w:val="24"/>
        </w:rPr>
        <w:t>甲方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科学技术委员会</w:t>
      </w:r>
      <w:r>
        <w:rPr>
          <w:rFonts w:hint="eastAsia" w:ascii="宋体" w:hAnsi="宋体" w:cs="宋体"/>
          <w:color w:val="000000"/>
          <w:sz w:val="24"/>
        </w:rPr>
        <w:t>验收合格</w:t>
      </w:r>
      <w:r>
        <w:rPr>
          <w:rFonts w:hint="eastAsia" w:ascii="宋体" w:hAnsi="宋体" w:cs="宋体"/>
          <w:color w:val="000000"/>
          <w:sz w:val="24"/>
          <w:lang w:eastAsia="zh-CN"/>
        </w:rPr>
        <w:t>，</w:t>
      </w:r>
      <w:r>
        <w:rPr>
          <w:rFonts w:hint="eastAsia" w:ascii="宋体" w:hAnsi="宋体" w:cs="宋体"/>
          <w:color w:val="000000"/>
          <w:sz w:val="24"/>
        </w:rPr>
        <w:t>30日内支付合同总价款的</w:t>
      </w:r>
      <w:r>
        <w:rPr>
          <w:rFonts w:hint="eastAsia" w:ascii="宋体" w:hAnsi="宋体" w:cs="宋体"/>
          <w:color w:val="000000"/>
          <w:sz w:val="24"/>
          <w:u w:val="single"/>
          <w:lang w:val="en-US" w:eastAsia="zh-CN"/>
        </w:rPr>
        <w:t>2</w:t>
      </w:r>
      <w:r>
        <w:rPr>
          <w:rFonts w:hint="eastAsia" w:ascii="宋体" w:hAnsi="宋体" w:cs="宋体"/>
          <w:color w:val="000000"/>
          <w:sz w:val="24"/>
          <w:u w:val="single"/>
        </w:rPr>
        <w:t>0</w:t>
      </w:r>
      <w:r>
        <w:rPr>
          <w:rFonts w:ascii="宋体" w:hAnsi="宋体" w:cs="宋体"/>
          <w:color w:val="000000"/>
          <w:sz w:val="24"/>
          <w:u w:val="single"/>
        </w:rPr>
        <w:t>%</w:t>
      </w:r>
      <w:r>
        <w:rPr>
          <w:rFonts w:ascii="宋体" w:hAnsi="宋体" w:cs="宋体"/>
          <w:color w:val="000000"/>
          <w:sz w:val="24"/>
        </w:rPr>
        <w:t>款项</w:t>
      </w:r>
      <w:r>
        <w:rPr>
          <w:rFonts w:hint="eastAsia" w:ascii="宋体" w:hAnsi="宋体" w:cs="宋体"/>
          <w:color w:val="000000"/>
          <w:sz w:val="24"/>
        </w:rPr>
        <w:t>。</w:t>
      </w:r>
    </w:p>
    <w:p w14:paraId="066CCD71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2.4 甲方负责结算，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科学技术委员会</w:t>
      </w:r>
      <w:r>
        <w:rPr>
          <w:rFonts w:hint="eastAsia" w:ascii="宋体" w:hAnsi="宋体"/>
          <w:sz w:val="24"/>
        </w:rPr>
        <w:t>验收合格后，第三次付款前，乙方必须按照要求开具全额发票，交甲方结算</w:t>
      </w:r>
      <w:r>
        <w:rPr>
          <w:rFonts w:hint="eastAsia" w:ascii="宋体" w:hAnsi="宋体"/>
          <w:bCs/>
          <w:sz w:val="24"/>
        </w:rPr>
        <w:t>。</w:t>
      </w:r>
    </w:p>
    <w:p w14:paraId="456B111C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hint="eastAsia"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五、交货期限、交货地点和交货方式</w:t>
      </w:r>
    </w:p>
    <w:p w14:paraId="5DC2E0F1">
      <w:pPr>
        <w:tabs>
          <w:tab w:val="left" w:pos="1155"/>
        </w:tabs>
        <w:overflowPunct w:val="0"/>
        <w:topLinePunct/>
        <w:adjustRightInd w:val="0"/>
        <w:spacing w:line="420" w:lineRule="exact"/>
        <w:ind w:firstLine="482" w:firstLineChars="200"/>
        <w:rPr>
          <w:rFonts w:hint="eastAsia" w:ascii="宋体" w:hAnsi="宋体" w:cs="宋体"/>
          <w:color w:val="000000"/>
          <w:sz w:val="24"/>
          <w:lang w:eastAsia="zh-Hans"/>
        </w:rPr>
      </w:pPr>
      <w:r>
        <w:rPr>
          <w:rFonts w:hint="eastAsia" w:ascii="宋体" w:hAnsi="宋体" w:cs="宋体"/>
          <w:b/>
          <w:bCs/>
          <w:color w:val="000000"/>
          <w:sz w:val="24"/>
          <w:lang w:eastAsia="zh-Hans"/>
        </w:rPr>
        <w:t>1. 交货期限：</w:t>
      </w:r>
      <w:r>
        <w:rPr>
          <w:rFonts w:hint="eastAsia" w:ascii="宋体" w:hAnsi="宋体" w:cs="宋体"/>
          <w:color w:val="000000"/>
          <w:sz w:val="24"/>
          <w:lang w:eastAsia="zh-Hans"/>
        </w:rPr>
        <w:t>合同签订之日起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4"/>
          <w:u w:val="single"/>
        </w:rPr>
        <w:t xml:space="preserve"> </w:t>
      </w:r>
      <w:r>
        <w:rPr>
          <w:rFonts w:hint="eastAsia" w:ascii="宋体" w:hAnsi="宋体" w:cs="宋体"/>
          <w:color w:val="000000"/>
          <w:sz w:val="24"/>
          <w:lang w:eastAsia="zh-Hans"/>
        </w:rPr>
        <w:t>个月内。供应商逾期交付货物的，每逾期1天，</w:t>
      </w:r>
      <w:r>
        <w:rPr>
          <w:rFonts w:hint="eastAsia" w:ascii="宋体" w:hAnsi="宋体" w:cs="宋体"/>
          <w:color w:val="000000"/>
          <w:sz w:val="24"/>
        </w:rPr>
        <w:t>乙方</w:t>
      </w:r>
      <w:r>
        <w:rPr>
          <w:rFonts w:hint="eastAsia" w:ascii="宋体" w:hAnsi="宋体" w:cs="宋体"/>
          <w:color w:val="000000"/>
          <w:sz w:val="24"/>
          <w:lang w:eastAsia="zh-Hans"/>
        </w:rPr>
        <w:t>向</w:t>
      </w:r>
      <w:r>
        <w:rPr>
          <w:rFonts w:hint="eastAsia" w:ascii="宋体" w:hAnsi="宋体" w:cs="宋体"/>
          <w:color w:val="000000"/>
          <w:sz w:val="24"/>
        </w:rPr>
        <w:t>甲方</w:t>
      </w:r>
      <w:r>
        <w:rPr>
          <w:rFonts w:hint="eastAsia" w:ascii="宋体" w:hAnsi="宋体" w:cs="宋体"/>
          <w:color w:val="000000"/>
          <w:sz w:val="24"/>
          <w:lang w:eastAsia="zh-Hans"/>
        </w:rPr>
        <w:t>偿付货款总额的 5 ‱ 的滞纳金。如</w:t>
      </w:r>
      <w:r>
        <w:rPr>
          <w:rFonts w:hint="eastAsia" w:ascii="宋体" w:hAnsi="宋体" w:cs="宋体"/>
          <w:color w:val="000000"/>
          <w:sz w:val="24"/>
        </w:rPr>
        <w:t>乙方</w:t>
      </w:r>
      <w:r>
        <w:rPr>
          <w:rFonts w:hint="eastAsia" w:ascii="宋体" w:hAnsi="宋体" w:cs="宋体"/>
          <w:color w:val="000000"/>
          <w:sz w:val="24"/>
          <w:lang w:eastAsia="zh-Hans"/>
        </w:rPr>
        <w:t>逾期交货达60天，</w:t>
      </w:r>
      <w:r>
        <w:rPr>
          <w:rFonts w:hint="eastAsia" w:ascii="宋体" w:hAnsi="宋体" w:cs="宋体"/>
          <w:color w:val="000000"/>
          <w:sz w:val="24"/>
        </w:rPr>
        <w:t>甲方</w:t>
      </w:r>
      <w:r>
        <w:rPr>
          <w:rFonts w:hint="eastAsia" w:ascii="宋体" w:hAnsi="宋体" w:cs="宋体"/>
          <w:color w:val="000000"/>
          <w:sz w:val="24"/>
          <w:lang w:eastAsia="zh-Hans"/>
        </w:rPr>
        <w:t>有权</w:t>
      </w:r>
      <w:r>
        <w:rPr>
          <w:rFonts w:hint="eastAsia" w:ascii="宋体" w:hAnsi="宋体" w:cs="宋体"/>
          <w:sz w:val="24"/>
        </w:rPr>
        <w:t>单方</w:t>
      </w:r>
      <w:r>
        <w:rPr>
          <w:rFonts w:hint="eastAsia" w:ascii="宋体" w:hAnsi="宋体" w:cs="宋体"/>
          <w:sz w:val="24"/>
          <w:lang w:eastAsia="zh-Hans"/>
        </w:rPr>
        <w:t>解除合同，同时</w:t>
      </w:r>
      <w:r>
        <w:rPr>
          <w:rFonts w:hint="eastAsia" w:ascii="宋体" w:hAnsi="宋体" w:cs="宋体"/>
          <w:sz w:val="24"/>
        </w:rPr>
        <w:t>乙方</w:t>
      </w:r>
      <w:r>
        <w:rPr>
          <w:rFonts w:hint="eastAsia" w:ascii="宋体" w:hAnsi="宋体" w:cs="宋体"/>
          <w:sz w:val="24"/>
          <w:lang w:eastAsia="zh-Hans"/>
        </w:rPr>
        <w:t>应及时退还</w:t>
      </w:r>
      <w:r>
        <w:rPr>
          <w:rFonts w:hint="eastAsia" w:ascii="宋体" w:hAnsi="宋体" w:cs="宋体"/>
          <w:sz w:val="24"/>
        </w:rPr>
        <w:t>甲方</w:t>
      </w:r>
      <w:r>
        <w:rPr>
          <w:rFonts w:hint="eastAsia" w:ascii="宋体" w:hAnsi="宋体" w:cs="宋体"/>
          <w:sz w:val="24"/>
          <w:lang w:eastAsia="zh-Hans"/>
        </w:rPr>
        <w:t>预付款并向</w:t>
      </w:r>
      <w:r>
        <w:rPr>
          <w:rFonts w:hint="eastAsia" w:ascii="宋体" w:hAnsi="宋体" w:cs="宋体"/>
          <w:sz w:val="24"/>
        </w:rPr>
        <w:t>甲方</w:t>
      </w:r>
      <w:r>
        <w:rPr>
          <w:rFonts w:hint="eastAsia" w:ascii="宋体" w:hAnsi="宋体" w:cs="宋体"/>
          <w:sz w:val="24"/>
          <w:lang w:eastAsia="zh-Hans"/>
        </w:rPr>
        <w:t>支付合同总价5％的违约金，解除合同的通知自</w:t>
      </w:r>
      <w:r>
        <w:rPr>
          <w:rFonts w:hint="eastAsia" w:ascii="宋体" w:hAnsi="宋体" w:cs="宋体"/>
          <w:sz w:val="24"/>
        </w:rPr>
        <w:t>送达</w:t>
      </w:r>
      <w:r>
        <w:rPr>
          <w:rFonts w:hint="eastAsia" w:ascii="宋体" w:hAnsi="宋体" w:cs="宋体"/>
          <w:color w:val="000000"/>
          <w:sz w:val="24"/>
        </w:rPr>
        <w:t>乙方</w:t>
      </w:r>
      <w:r>
        <w:rPr>
          <w:rFonts w:hint="eastAsia" w:ascii="宋体" w:hAnsi="宋体" w:cs="宋体"/>
          <w:color w:val="000000"/>
          <w:sz w:val="24"/>
          <w:lang w:eastAsia="zh-Hans"/>
        </w:rPr>
        <w:t>时生效。</w:t>
      </w:r>
    </w:p>
    <w:p w14:paraId="7BFD2AAF">
      <w:pPr>
        <w:tabs>
          <w:tab w:val="left" w:pos="1155"/>
        </w:tabs>
        <w:overflowPunct w:val="0"/>
        <w:topLinePunct/>
        <w:autoSpaceDE w:val="0"/>
        <w:autoSpaceDN w:val="0"/>
        <w:adjustRightInd w:val="0"/>
        <w:spacing w:line="420" w:lineRule="exact"/>
        <w:ind w:firstLine="482" w:firstLineChars="20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2. 交货地点：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甲方指定交货地点。</w:t>
      </w:r>
    </w:p>
    <w:p w14:paraId="05065EFF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3. 交货方式：按照合同约定现货完整交付。</w:t>
      </w:r>
    </w:p>
    <w:p w14:paraId="79DB18E7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480" w:firstLineChars="20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3.1 </w:t>
      </w:r>
      <w:r>
        <w:rPr>
          <w:rFonts w:hint="eastAsia" w:ascii="宋体" w:hAnsi="宋体" w:cs="宋体"/>
          <w:bCs/>
          <w:color w:val="000000"/>
          <w:sz w:val="24"/>
        </w:rPr>
        <w:t>乙方可根据交货期、运输条件自行选择运输方式（另有规定的除外），乙方承担一切费用，包括从设备供应地点所含的运输费、装卸费、仓储费、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保险费等。乙方必须保证按期交货，提前确认甲方交货地点及收货人并负责送货到位。</w:t>
      </w:r>
    </w:p>
    <w:p w14:paraId="197D50F2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4. 包装：</w:t>
      </w:r>
    </w:p>
    <w:p w14:paraId="27793536">
      <w:pPr>
        <w:tabs>
          <w:tab w:val="left" w:pos="1155"/>
        </w:tabs>
        <w:overflowPunct w:val="0"/>
        <w:topLinePunct/>
        <w:adjustRightInd w:val="0"/>
        <w:spacing w:line="420" w:lineRule="exact"/>
        <w:ind w:firstLine="360" w:firstLineChars="150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包装应适应标的物特性和交通运输要求，并符合国家有关标准或企业标准或合同要求。如因包装或运输导致合同标的物出现任何问题，乙方应承担由于包装、防护措施不妥引起的所有损失的责任和费用。</w:t>
      </w:r>
    </w:p>
    <w:p w14:paraId="0E9214E5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六、技术服务与质量保障 </w:t>
      </w:r>
    </w:p>
    <w:p w14:paraId="3CCF9DD5">
      <w:pPr>
        <w:tabs>
          <w:tab w:val="left" w:pos="1155"/>
        </w:tabs>
        <w:overflowPunct w:val="0"/>
        <w:topLinePunct/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1. 技术服务：</w:t>
      </w:r>
    </w:p>
    <w:p w14:paraId="34A22B03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1.1 技术资料：</w:t>
      </w:r>
      <w:r>
        <w:rPr>
          <w:rFonts w:hint="eastAsia" w:ascii="宋体" w:hAnsi="宋体" w:cs="宋体"/>
          <w:bCs/>
          <w:color w:val="000000"/>
          <w:sz w:val="24"/>
        </w:rPr>
        <w:t>乙方随同货物提供相应的技术文件（包括产品合格证、装箱清单、操作手册、使用说明、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检验测试报告</w:t>
      </w:r>
      <w:r>
        <w:rPr>
          <w:rFonts w:hint="eastAsia" w:ascii="宋体" w:hAnsi="宋体" w:cs="宋体"/>
          <w:bCs/>
          <w:color w:val="000000"/>
          <w:sz w:val="24"/>
        </w:rPr>
        <w:t>、维护手册、服务指南等相关资料）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。乙方需保证相关原始资料真实、有效、完善、合法，否则视为乙方违约，须向甲方支付合同总价款20%违约金。</w:t>
      </w:r>
    </w:p>
    <w:p w14:paraId="0B6DEE4C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auto"/>
          <w:kern w:val="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1.2 </w:t>
      </w:r>
      <w:r>
        <w:rPr>
          <w:rFonts w:hint="eastAsia" w:ascii="宋体" w:hAnsi="宋体" w:cs="宋体"/>
          <w:bCs/>
          <w:color w:val="auto"/>
          <w:sz w:val="24"/>
        </w:rPr>
        <w:t>乙方免费提供现场安装、调试、试运行技术保障服务。</w:t>
      </w:r>
    </w:p>
    <w:p w14:paraId="204666AA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auto"/>
          <w:kern w:val="0"/>
          <w:sz w:val="24"/>
        </w:rPr>
        <w:t xml:space="preserve"> 1.3 乙方承担对甲方技术人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员的免费培训，人数与地点按照甲方要求约定。</w:t>
      </w:r>
    </w:p>
    <w:p w14:paraId="3D250078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2. 质量保障： </w:t>
      </w:r>
    </w:p>
    <w:p w14:paraId="2D92C210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2.1 </w:t>
      </w:r>
      <w:r>
        <w:rPr>
          <w:rFonts w:hint="eastAsia" w:ascii="宋体" w:hAnsi="宋体" w:cs="宋体"/>
          <w:bCs/>
          <w:color w:val="000000"/>
          <w:sz w:val="24"/>
        </w:rPr>
        <w:t>乙方应当保证所供标的物的来源渠道</w:t>
      </w:r>
      <w:r>
        <w:rPr>
          <w:rFonts w:hint="eastAsia" w:ascii="宋体" w:hAnsi="宋体" w:cs="宋体"/>
          <w:bCs/>
          <w:sz w:val="24"/>
        </w:rPr>
        <w:t>正规</w:t>
      </w:r>
      <w:r>
        <w:rPr>
          <w:rFonts w:hint="eastAsia" w:ascii="宋体" w:hAnsi="宋体" w:cs="宋体"/>
          <w:bCs/>
          <w:color w:val="000000"/>
          <w:sz w:val="24"/>
        </w:rPr>
        <w:t>，产品是全新的、未拆封、未使用过的，且完全满足招标文件、本合同要求，否则甲方有权拒收，并要求乙方承担合同总价款20%的违约金。</w:t>
      </w:r>
    </w:p>
    <w:p w14:paraId="0BAF1FCC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2.2</w:t>
      </w:r>
      <w:r>
        <w:rPr>
          <w:rFonts w:hint="eastAsia" w:ascii="宋体" w:hAnsi="宋体"/>
          <w:color w:val="000000"/>
          <w:sz w:val="24"/>
          <w:szCs w:val="28"/>
        </w:rPr>
        <w:t xml:space="preserve"> </w:t>
      </w:r>
      <w:r>
        <w:rPr>
          <w:rFonts w:hint="eastAsia" w:ascii="宋体" w:hAnsi="宋体" w:cs="宋体"/>
          <w:bCs/>
          <w:sz w:val="24"/>
        </w:rPr>
        <w:t>各仪器设备质保期以设备详细技术参数中各产品要求为准</w:t>
      </w:r>
      <w:r>
        <w:rPr>
          <w:rFonts w:hint="eastAsia" w:ascii="宋体" w:hAnsi="宋体" w:cs="宋体"/>
          <w:bCs/>
          <w:color w:val="000000"/>
          <w:sz w:val="24"/>
        </w:rPr>
        <w:t>，无明确要求的质保期壹年。乙方</w:t>
      </w:r>
      <w:r>
        <w:rPr>
          <w:rFonts w:hint="eastAsia" w:ascii="宋体" w:hAnsi="宋体" w:cs="宋体"/>
          <w:color w:val="000000"/>
          <w:sz w:val="24"/>
        </w:rPr>
        <w:t>需提供售后服务承诺函</w:t>
      </w:r>
      <w:r>
        <w:rPr>
          <w:rFonts w:hint="eastAsia" w:ascii="宋体" w:hAnsi="宋体" w:cs="宋体"/>
          <w:bCs/>
          <w:color w:val="000000"/>
          <w:sz w:val="24"/>
        </w:rPr>
        <w:t>。</w:t>
      </w:r>
    </w:p>
    <w:p w14:paraId="6B8FDCB1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2.3 设备符合国家有关规范要求，确保整个设备达到最佳运行状态。 </w:t>
      </w:r>
    </w:p>
    <w:p w14:paraId="76EF420F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auto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2.4 </w:t>
      </w:r>
      <w:r>
        <w:rPr>
          <w:rFonts w:hint="eastAsia" w:ascii="宋体" w:hAnsi="宋体" w:cs="宋体"/>
          <w:bCs/>
          <w:color w:val="auto"/>
          <w:kern w:val="0"/>
          <w:sz w:val="24"/>
        </w:rPr>
        <w:t>在标的物交付后甲方使用的全过程中，由于产品设计、工艺或材料缺陷而产生的质量问题，由此给甲方造成的损失全部由乙方承担。</w:t>
      </w:r>
    </w:p>
    <w:p w14:paraId="44ED5B8C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15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/>
          <w:color w:val="auto"/>
        </w:rPr>
        <w:t xml:space="preserve">  </w:t>
      </w:r>
      <w:r>
        <w:rPr>
          <w:rFonts w:hint="eastAsia" w:ascii="宋体" w:hAnsi="宋体" w:cs="宋体"/>
          <w:bCs/>
          <w:color w:val="auto"/>
          <w:kern w:val="0"/>
          <w:sz w:val="24"/>
        </w:rPr>
        <w:t>2.5 如所供标的物经乙方</w:t>
      </w:r>
      <w:r>
        <w:rPr>
          <w:rFonts w:hint="eastAsia" w:ascii="宋体" w:hAnsi="宋体" w:cs="宋体"/>
          <w:bCs/>
          <w:color w:val="auto"/>
          <w:kern w:val="0"/>
          <w:sz w:val="24"/>
          <w:u w:val="single"/>
        </w:rPr>
        <w:t xml:space="preserve"> 2 </w:t>
      </w:r>
      <w:r>
        <w:rPr>
          <w:rFonts w:hint="eastAsia" w:ascii="宋体" w:hAnsi="宋体" w:cs="宋体"/>
          <w:bCs/>
          <w:color w:val="auto"/>
          <w:kern w:val="0"/>
          <w:sz w:val="24"/>
        </w:rPr>
        <w:t>次维修仍不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能达到合同约定的质量标准，甲方有权退货，给甲方造成的损失，由乙方负责。</w:t>
      </w:r>
    </w:p>
    <w:p w14:paraId="64305144">
      <w:pPr>
        <w:tabs>
          <w:tab w:val="left" w:pos="480"/>
        </w:tabs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92D05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2.6 设备自安装、调试正常运行并验收合格之日起，按照厂家售后服务承诺履行质量保证。在质量保证期内和合同货物的正常使用年限内，乙方保证在收到用户要求提供维修服务的通知后2小时内给予反馈，24小时内派合格的技术人员赴现场排除故障。设备自安装、调试正常运行并验收合格起</w:t>
      </w:r>
      <w:r>
        <w:rPr>
          <w:rFonts w:hint="eastAsia" w:ascii="宋体" w:hAnsi="宋体" w:cs="宋体"/>
          <w:bCs/>
          <w:color w:val="000000"/>
          <w:kern w:val="0"/>
          <w:sz w:val="24"/>
          <w:u w:val="single"/>
        </w:rPr>
        <w:t>7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至</w:t>
      </w:r>
      <w:r>
        <w:rPr>
          <w:rFonts w:hint="eastAsia" w:ascii="宋体" w:hAnsi="宋体" w:cs="宋体"/>
          <w:bCs/>
          <w:color w:val="000000"/>
          <w:kern w:val="0"/>
          <w:sz w:val="24"/>
          <w:u w:val="single"/>
        </w:rPr>
        <w:t>15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日内，如出现质量问题，乙方应当给甲方调换新设备，且调换设备的相关费用，如运输、保险、安装、人员等相关费用均由乙方承担。</w:t>
      </w:r>
    </w:p>
    <w:p w14:paraId="3850F7CD">
      <w:pPr>
        <w:autoSpaceDE w:val="0"/>
        <w:autoSpaceDN w:val="0"/>
        <w:adjustRightInd w:val="0"/>
        <w:spacing w:line="420" w:lineRule="exact"/>
        <w:ind w:firstLine="360" w:firstLineChars="150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2.7 </w:t>
      </w:r>
      <w:r>
        <w:rPr>
          <w:rFonts w:hint="eastAsia" w:ascii="宋体" w:hAnsi="宋体" w:cs="宋体"/>
          <w:bCs/>
          <w:color w:val="auto"/>
          <w:kern w:val="0"/>
          <w:sz w:val="24"/>
        </w:rPr>
        <w:t>在质保期内，若发现所供标的物在质量、规格、技术指标等方面存在与合同不相符的，甲方应尽快以书面形式向乙方提出退款索赔，乙方应及时退还全部货款并承担因退货产生的一切费用。</w:t>
      </w:r>
    </w:p>
    <w:p w14:paraId="7A6D2E61">
      <w:pPr>
        <w:spacing w:line="420" w:lineRule="exact"/>
        <w:ind w:firstLine="360" w:firstLineChars="150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2.8 在质保期内，损坏部件的修理费或更换费用、往返运保费等由乙方承担；在质保期外，只收取单程的运保费及已维修的原器件成本费，未尽事宜由双方协商解决。如需更换零部件，以优惠价提供。</w:t>
      </w:r>
    </w:p>
    <w:p w14:paraId="2B1034C4">
      <w:pPr>
        <w:spacing w:line="420" w:lineRule="exact"/>
        <w:ind w:firstLine="360" w:firstLineChars="150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2.9设备设计变更：中标后，生产加工设备的设计、数量需变更、调整时，应办理相应的变更、调整审批手续，并协商确定设计变更、数量调整后的设备价款计算方式和工期顺延等事宜。</w:t>
      </w:r>
    </w:p>
    <w:p w14:paraId="4394263B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七、验货与验收</w:t>
      </w:r>
    </w:p>
    <w:p w14:paraId="52BA25E5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</w:t>
      </w: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 仪器到达用户指定地点后，甲方应在合理时间内组织与乙方共同开箱验货, 现场确认设备规格、型号等问题。货物经过验收后乙方可进行安装、调试，达到使用条件后，由甲方负责组织验收，或者邀请有关专家、质检机构等共同进行验收；通过验收的应填写验收表，并交接全部项目资料。</w:t>
      </w:r>
    </w:p>
    <w:p w14:paraId="7C7A83F2">
      <w:pPr>
        <w:autoSpaceDE w:val="0"/>
        <w:autoSpaceDN w:val="0"/>
        <w:adjustRightInd w:val="0"/>
        <w:spacing w:line="420" w:lineRule="exact"/>
        <w:jc w:val="left"/>
        <w:rPr>
          <w:rFonts w:hint="default" w:ascii="宋体" w:hAnsi="宋体" w:eastAsia="宋体" w:cs="宋体"/>
          <w:bCs/>
          <w:color w:val="000000"/>
          <w:kern w:val="0"/>
          <w:sz w:val="24"/>
          <w:highlight w:val="none"/>
          <w:lang w:val="en-US" w:eastAsia="zh-CN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2. 验收以合同、国家相应的标准、规范等为依据，进口产品应提供进口的合法手续资料</w:t>
      </w:r>
      <w:r>
        <w:rPr>
          <w:rFonts w:hint="eastAsia" w:ascii="宋体" w:hAnsi="宋体" w:cs="宋体"/>
          <w:bCs/>
          <w:color w:val="000000"/>
          <w:kern w:val="0"/>
          <w:sz w:val="24"/>
          <w:lang w:eastAsia="zh-CN"/>
        </w:rPr>
        <w:t>，</w:t>
      </w:r>
      <w:r>
        <w:rPr>
          <w:rFonts w:hint="eastAsia" w:ascii="宋体" w:hAnsi="宋体" w:cs="宋体"/>
          <w:bCs/>
          <w:color w:val="000000"/>
          <w:kern w:val="0"/>
          <w:sz w:val="24"/>
          <w:highlight w:val="none"/>
          <w:lang w:val="en-US" w:eastAsia="zh-CN"/>
        </w:rPr>
        <w:t>涉及电子类设备（包含但不限于：电脑、服务器、打印机等）须为安全可靠产品。</w:t>
      </w:r>
    </w:p>
    <w:p w14:paraId="452B0350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3. 验收须按采购要求提供省级或以上法定计量检定机构有效溯源证书，除有特殊要求和指定机构之外，以陕西省计量科学研究院的证书为首选。</w:t>
      </w:r>
    </w:p>
    <w:p w14:paraId="4E8BBA37">
      <w:pPr>
        <w:spacing w:line="420" w:lineRule="exact"/>
        <w:rPr>
          <w:rFonts w:ascii="宋体" w:hAnsi="宋体" w:cs="宋体"/>
          <w:b/>
          <w:bCs/>
          <w:color w:val="00000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八、合同争议的解决</w:t>
      </w:r>
    </w:p>
    <w:p w14:paraId="248146E3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 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本合同在履行过程中发生的争议、由甲、乙当事人协商解决；也可由当地市场监督管理部门调解；协商或调解不成的按下列第二种方式解决:</w:t>
      </w:r>
    </w:p>
    <w:p w14:paraId="03A0F48F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1. 提交西安仲裁委员会仲裁；</w:t>
      </w:r>
    </w:p>
    <w:p w14:paraId="59D4398B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2. 依法向甲方所在地人民法院起诉。</w:t>
      </w:r>
    </w:p>
    <w:p w14:paraId="61134927">
      <w:pPr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九、发生不可抗力情况下的应对措施与解决办法</w:t>
      </w:r>
    </w:p>
    <w:p w14:paraId="495141F6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</w:t>
      </w: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合同履行过程中如遇地震灾害、战争、洪水、台风等不可抗力时，甲乙双方协商解决。</w:t>
      </w:r>
    </w:p>
    <w:p w14:paraId="79783B78">
      <w:pPr>
        <w:pStyle w:val="9"/>
        <w:spacing w:line="420" w:lineRule="exact"/>
        <w:ind w:firstLine="0"/>
        <w:rPr>
          <w:rFonts w:ascii="宋体" w:hAnsi="宋体" w:cs="宋体"/>
          <w:b/>
          <w:bCs/>
          <w:iCs w:val="0"/>
        </w:rPr>
      </w:pPr>
      <w:r>
        <w:rPr>
          <w:rFonts w:hint="eastAsia" w:ascii="宋体" w:hAnsi="宋体" w:cs="宋体"/>
          <w:b/>
          <w:bCs/>
          <w:iCs w:val="0"/>
        </w:rPr>
        <w:t>十、违约责任</w:t>
      </w:r>
    </w:p>
    <w:p w14:paraId="312C9AD4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 xml:space="preserve">   </w:t>
      </w: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1. 乙方未全面履行合同项下所约定相关义务时，甲方有权终止合同，并依据《民法典》等相关法律规定追究乙方违约责任，由乙方向甲方支付合同总价款20%的违约金，乙方还应承担因违约引起</w:t>
      </w:r>
      <w:r>
        <w:rPr>
          <w:rFonts w:hint="eastAsia" w:ascii="宋体" w:hAnsi="宋体" w:cs="宋体"/>
          <w:bCs/>
          <w:kern w:val="0"/>
          <w:sz w:val="24"/>
        </w:rPr>
        <w:t>的诉讼费、律师费、保全费、保险费</w:t>
      </w:r>
      <w:r>
        <w:rPr>
          <w:rFonts w:hint="eastAsia" w:ascii="宋体" w:hAnsi="宋体" w:cs="宋体"/>
          <w:bCs/>
          <w:color w:val="000000"/>
          <w:kern w:val="0"/>
          <w:sz w:val="24"/>
        </w:rPr>
        <w:t>、仲裁费用等相关费用，甲方有权报请政府采购监督管理机关依法进行相应的行政处罚。</w:t>
      </w:r>
    </w:p>
    <w:p w14:paraId="5BFC8061">
      <w:pPr>
        <w:autoSpaceDE w:val="0"/>
        <w:autoSpaceDN w:val="0"/>
        <w:adjustRightInd w:val="0"/>
        <w:spacing w:line="420" w:lineRule="exact"/>
        <w:jc w:val="left"/>
        <w:rPr>
          <w:rFonts w:ascii="宋体" w:hAnsi="宋体" w:cs="宋体"/>
          <w:bCs/>
          <w:color w:val="000000"/>
          <w:kern w:val="0"/>
          <w:sz w:val="24"/>
        </w:rPr>
      </w:pPr>
      <w:r>
        <w:rPr>
          <w:rFonts w:hint="eastAsia" w:ascii="宋体" w:hAnsi="宋体" w:cs="宋体"/>
          <w:bCs/>
          <w:color w:val="000000"/>
          <w:kern w:val="0"/>
          <w:sz w:val="24"/>
        </w:rPr>
        <w:t xml:space="preserve">    2. 甲方违约，支付乙方所造成的直接经济损失。</w:t>
      </w:r>
    </w:p>
    <w:p w14:paraId="0608C5E8">
      <w:pPr>
        <w:tabs>
          <w:tab w:val="left" w:pos="1155"/>
        </w:tabs>
        <w:overflowPunct w:val="0"/>
        <w:topLinePunct/>
        <w:adjustRightInd w:val="0"/>
        <w:spacing w:line="420" w:lineRule="exact"/>
        <w:rPr>
          <w:rFonts w:ascii="宋体" w:hAnsi="宋体" w:cs="宋体"/>
          <w:b/>
          <w:bCs/>
          <w:color w:val="000000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4"/>
        </w:rPr>
        <w:t>十一、其他需要签订的合同条款</w:t>
      </w:r>
    </w:p>
    <w:p w14:paraId="14E3FDCD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1. 陕西省财政厅在合同的履行期间以及履行期后，可以随时检查项目的执行，对采购标准、采购内容进行调查核实，并对发现的问题进行处理。</w:t>
      </w:r>
    </w:p>
    <w:p w14:paraId="68FDAC8A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2. 合同附件及招标文件、投标文件均作为合同不可分割的部分。</w:t>
      </w:r>
    </w:p>
    <w:p w14:paraId="6BCF2BC7">
      <w:pPr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3. 合同未尽事宜，经甲、乙双方协商，可以签订补充协议，作为合同的补充，并与原合同具有同等法律效力。</w:t>
      </w:r>
    </w:p>
    <w:p w14:paraId="01D46A70">
      <w:pPr>
        <w:kinsoku w:val="0"/>
        <w:spacing w:line="420" w:lineRule="exact"/>
        <w:rPr>
          <w:rFonts w:ascii="宋体" w:hAnsi="宋体" w:cs="宋体"/>
          <w:bCs/>
          <w:color w:val="000000"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4. 合同一经签订，不得擅自变更、中止或者终止合同。对确需变更、调整或者中止、终止合同的，应按规定履行相应的手续。</w:t>
      </w:r>
    </w:p>
    <w:p w14:paraId="0C24225B">
      <w:pPr>
        <w:spacing w:line="420" w:lineRule="exac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color w:val="000000"/>
          <w:sz w:val="24"/>
        </w:rPr>
        <w:t xml:space="preserve">    5. 本合同一式五份</w:t>
      </w:r>
      <w:r>
        <w:rPr>
          <w:rFonts w:hint="eastAsia" w:ascii="宋体" w:hAnsi="宋体" w:cs="宋体"/>
          <w:bCs/>
          <w:sz w:val="24"/>
        </w:rPr>
        <w:t>，甲、乙双方各执两份，采购代理机构一份。甲乙双方签字盖章后生效，合同</w:t>
      </w:r>
      <w:r>
        <w:rPr>
          <w:rFonts w:hint="eastAsia" w:ascii="宋体" w:hAnsi="宋体" w:cs="宋体"/>
          <w:bCs/>
          <w:color w:val="000000"/>
          <w:sz w:val="24"/>
        </w:rPr>
        <w:t>执行完毕后自</w:t>
      </w:r>
      <w:r>
        <w:rPr>
          <w:rFonts w:hint="eastAsia" w:ascii="宋体" w:hAnsi="宋体" w:cs="宋体"/>
          <w:bCs/>
          <w:sz w:val="24"/>
        </w:rPr>
        <w:t>动失效。</w:t>
      </w:r>
    </w:p>
    <w:p w14:paraId="7B4551E4">
      <w:pPr>
        <w:spacing w:line="420" w:lineRule="exac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合同签订地点：西安</w:t>
      </w:r>
    </w:p>
    <w:p w14:paraId="5C2863B8">
      <w:pPr>
        <w:spacing w:line="420" w:lineRule="exact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合同生效（签订）时间：</w:t>
      </w:r>
      <w:r>
        <w:rPr>
          <w:rFonts w:hint="eastAsia" w:ascii="宋体" w:hAnsi="宋体" w:cs="宋体"/>
          <w:bCs/>
          <w:color w:val="000000"/>
          <w:sz w:val="24"/>
          <w:u w:val="single"/>
        </w:rPr>
        <w:t xml:space="preserve">     </w:t>
      </w:r>
      <w:r>
        <w:rPr>
          <w:rFonts w:hint="eastAsia" w:ascii="宋体" w:hAnsi="宋体" w:cs="宋体"/>
          <w:bCs/>
          <w:color w:val="000000"/>
          <w:sz w:val="24"/>
        </w:rPr>
        <w:t>年</w:t>
      </w:r>
      <w:r>
        <w:rPr>
          <w:rFonts w:hint="eastAsia" w:ascii="宋体" w:hAnsi="宋体" w:cs="宋体"/>
          <w:bCs/>
          <w:color w:val="000000"/>
          <w:sz w:val="24"/>
          <w:u w:val="single"/>
        </w:rPr>
        <w:t xml:space="preserve">  </w:t>
      </w:r>
      <w:r>
        <w:rPr>
          <w:rFonts w:hint="eastAsia" w:ascii="宋体" w:hAnsi="宋体" w:cs="宋体"/>
          <w:bCs/>
          <w:sz w:val="24"/>
          <w:u w:val="single"/>
        </w:rPr>
        <w:t xml:space="preserve">  </w:t>
      </w:r>
      <w:r>
        <w:rPr>
          <w:rFonts w:hint="eastAsia" w:ascii="宋体" w:hAnsi="宋体" w:cs="宋体"/>
          <w:bCs/>
          <w:sz w:val="24"/>
        </w:rPr>
        <w:t>月</w:t>
      </w:r>
      <w:r>
        <w:rPr>
          <w:rFonts w:hint="eastAsia" w:ascii="宋体" w:hAnsi="宋体" w:cs="宋体"/>
          <w:bCs/>
          <w:sz w:val="24"/>
          <w:u w:val="single"/>
        </w:rPr>
        <w:t xml:space="preserve">    </w:t>
      </w:r>
      <w:r>
        <w:rPr>
          <w:rFonts w:hint="eastAsia" w:ascii="宋体" w:hAnsi="宋体" w:cs="宋体"/>
          <w:bCs/>
          <w:color w:val="000000"/>
          <w:sz w:val="24"/>
        </w:rPr>
        <w:t>日</w:t>
      </w:r>
    </w:p>
    <w:tbl>
      <w:tblPr>
        <w:tblStyle w:val="7"/>
        <w:tblpPr w:leftFromText="180" w:rightFromText="180" w:vertAnchor="text" w:horzAnchor="margin" w:tblpXSpec="center" w:tblpY="2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1"/>
        <w:gridCol w:w="4726"/>
      </w:tblGrid>
      <w:tr w14:paraId="7E00A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29050B7A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甲  方</w:t>
            </w:r>
          </w:p>
        </w:tc>
        <w:tc>
          <w:tcPr>
            <w:tcW w:w="4726" w:type="dxa"/>
            <w:noWrap w:val="0"/>
            <w:vAlign w:val="top"/>
          </w:tcPr>
          <w:p w14:paraId="0ECE90BD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乙  方</w:t>
            </w:r>
          </w:p>
        </w:tc>
      </w:tr>
      <w:tr w14:paraId="643213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171" w:type="dxa"/>
            <w:noWrap w:val="0"/>
            <w:vAlign w:val="center"/>
          </w:tcPr>
          <w:p w14:paraId="33FE41E2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  <w:p w14:paraId="36F1D623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（盖章）</w:t>
            </w:r>
          </w:p>
        </w:tc>
        <w:tc>
          <w:tcPr>
            <w:tcW w:w="4726" w:type="dxa"/>
            <w:noWrap w:val="0"/>
            <w:vAlign w:val="center"/>
          </w:tcPr>
          <w:p w14:paraId="4BA1CEFC">
            <w:pPr>
              <w:overflowPunct w:val="0"/>
              <w:topLinePunct/>
              <w:adjustRightInd w:val="0"/>
              <w:spacing w:line="40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  <w:p w14:paraId="55F410AD">
            <w:pPr>
              <w:overflowPunct w:val="0"/>
              <w:topLinePunct/>
              <w:adjustRightInd w:val="0"/>
              <w:spacing w:line="400" w:lineRule="exact"/>
              <w:ind w:firstLine="1680" w:firstLineChars="700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（盖章）</w:t>
            </w:r>
          </w:p>
        </w:tc>
      </w:tr>
      <w:tr w14:paraId="7C3B3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4171" w:type="dxa"/>
            <w:noWrap w:val="0"/>
            <w:vAlign w:val="center"/>
          </w:tcPr>
          <w:p w14:paraId="3BB51DA2">
            <w:pPr>
              <w:overflowPunct w:val="0"/>
              <w:topLinePunct/>
              <w:adjustRightInd w:val="0"/>
              <w:spacing w:line="240" w:lineRule="auto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 xml:space="preserve">地址： </w:t>
            </w:r>
          </w:p>
        </w:tc>
        <w:tc>
          <w:tcPr>
            <w:tcW w:w="4726" w:type="dxa"/>
            <w:noWrap w:val="0"/>
            <w:vAlign w:val="center"/>
          </w:tcPr>
          <w:p w14:paraId="1013DC20">
            <w:pPr>
              <w:overflowPunct w:val="0"/>
              <w:topLinePunct/>
              <w:adjustRightInd w:val="0"/>
              <w:spacing w:line="240" w:lineRule="auto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地址:</w:t>
            </w:r>
          </w:p>
        </w:tc>
      </w:tr>
      <w:tr w14:paraId="370BBC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79283ACD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邮编：</w:t>
            </w:r>
          </w:p>
        </w:tc>
        <w:tc>
          <w:tcPr>
            <w:tcW w:w="4726" w:type="dxa"/>
            <w:noWrap w:val="0"/>
            <w:vAlign w:val="top"/>
          </w:tcPr>
          <w:p w14:paraId="1E3F6B7A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邮编：</w:t>
            </w:r>
          </w:p>
        </w:tc>
      </w:tr>
      <w:tr w14:paraId="4F6E1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4171" w:type="dxa"/>
            <w:noWrap w:val="0"/>
            <w:vAlign w:val="top"/>
          </w:tcPr>
          <w:p w14:paraId="72A2D0CF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法定代表人：</w:t>
            </w:r>
          </w:p>
        </w:tc>
        <w:tc>
          <w:tcPr>
            <w:tcW w:w="4726" w:type="dxa"/>
            <w:noWrap w:val="0"/>
            <w:vAlign w:val="top"/>
          </w:tcPr>
          <w:p w14:paraId="737AE5FE">
            <w:pPr>
              <w:overflowPunct w:val="0"/>
              <w:topLinePunct/>
              <w:adjustRightInd w:val="0"/>
              <w:spacing w:line="400" w:lineRule="exact"/>
              <w:rPr>
                <w:rFonts w:hint="eastAsia"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法定代表人：</w:t>
            </w:r>
          </w:p>
        </w:tc>
      </w:tr>
      <w:tr w14:paraId="4324E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4171" w:type="dxa"/>
            <w:noWrap w:val="0"/>
            <w:vAlign w:val="top"/>
          </w:tcPr>
          <w:p w14:paraId="2546AF18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经办人：（签字）</w:t>
            </w:r>
          </w:p>
        </w:tc>
        <w:tc>
          <w:tcPr>
            <w:tcW w:w="4726" w:type="dxa"/>
            <w:noWrap w:val="0"/>
            <w:vAlign w:val="top"/>
          </w:tcPr>
          <w:p w14:paraId="1B358079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授权代表：（签字）</w:t>
            </w:r>
          </w:p>
        </w:tc>
      </w:tr>
      <w:tr w14:paraId="37870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4171" w:type="dxa"/>
            <w:noWrap w:val="0"/>
            <w:vAlign w:val="top"/>
          </w:tcPr>
          <w:p w14:paraId="75747718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  <w:lang w:val="en-US" w:eastAsia="zh-CN"/>
              </w:rPr>
              <w:t>使用部门负责人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：（签字）</w:t>
            </w:r>
          </w:p>
        </w:tc>
        <w:tc>
          <w:tcPr>
            <w:tcW w:w="4726" w:type="dxa"/>
            <w:noWrap w:val="0"/>
            <w:vAlign w:val="top"/>
          </w:tcPr>
          <w:p w14:paraId="2342323B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电话：</w:t>
            </w:r>
          </w:p>
        </w:tc>
      </w:tr>
      <w:tr w14:paraId="28578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15597960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电话：</w:t>
            </w:r>
          </w:p>
        </w:tc>
        <w:tc>
          <w:tcPr>
            <w:tcW w:w="4726" w:type="dxa"/>
            <w:noWrap w:val="0"/>
            <w:vAlign w:val="top"/>
          </w:tcPr>
          <w:p w14:paraId="0E5A999C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传真：</w:t>
            </w:r>
          </w:p>
        </w:tc>
      </w:tr>
      <w:tr w14:paraId="4E50A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2497BBB9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传真：</w:t>
            </w:r>
          </w:p>
        </w:tc>
        <w:tc>
          <w:tcPr>
            <w:tcW w:w="4726" w:type="dxa"/>
            <w:noWrap w:val="0"/>
            <w:vAlign w:val="center"/>
          </w:tcPr>
          <w:p w14:paraId="43DF355F">
            <w:pPr>
              <w:overflowPunct w:val="0"/>
              <w:topLinePunct/>
              <w:adjustRightInd w:val="0"/>
              <w:spacing w:line="240" w:lineRule="auto"/>
              <w:jc w:val="both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开户银行：</w:t>
            </w:r>
          </w:p>
        </w:tc>
      </w:tr>
      <w:tr w14:paraId="41C50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4171" w:type="dxa"/>
            <w:noWrap w:val="0"/>
            <w:vAlign w:val="top"/>
          </w:tcPr>
          <w:p w14:paraId="615F255A">
            <w:pPr>
              <w:overflowPunct w:val="0"/>
              <w:topLinePunct/>
              <w:adjustRightInd w:val="0"/>
              <w:spacing w:line="400" w:lineRule="exac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4726" w:type="dxa"/>
            <w:noWrap w:val="0"/>
            <w:vAlign w:val="center"/>
          </w:tcPr>
          <w:p w14:paraId="181A9AAF">
            <w:pPr>
              <w:overflowPunct w:val="0"/>
              <w:topLinePunct/>
              <w:adjustRightInd w:val="0"/>
              <w:spacing w:line="400" w:lineRule="exact"/>
              <w:jc w:val="both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账号：</w:t>
            </w:r>
          </w:p>
        </w:tc>
      </w:tr>
    </w:tbl>
    <w:p w14:paraId="2F84B8A9">
      <w:pPr>
        <w:spacing w:line="360" w:lineRule="auto"/>
        <w:rPr>
          <w:rFonts w:hint="eastAsia" w:ascii="宋体" w:hAnsi="宋体" w:cs="宋体"/>
          <w:b/>
          <w:bCs/>
          <w:color w:val="000000"/>
          <w:sz w:val="24"/>
        </w:rPr>
      </w:pPr>
    </w:p>
    <w:p w14:paraId="663F2E0C">
      <w:pPr>
        <w:pStyle w:val="4"/>
        <w:rPr>
          <w:rFonts w:hint="eastAsia" w:hAnsi="宋体" w:cs="宋体"/>
          <w:b/>
          <w:bCs/>
        </w:rPr>
        <w:sectPr>
          <w:footerReference r:id="rId6" w:type="first"/>
          <w:footerReference r:id="rId5" w:type="default"/>
          <w:pgSz w:w="11906" w:h="16838"/>
          <w:pgMar w:top="1304" w:right="1797" w:bottom="1304" w:left="1418" w:header="851" w:footer="992" w:gutter="0"/>
          <w:pgNumType w:start="0"/>
          <w:cols w:space="720" w:num="1"/>
          <w:titlePg/>
          <w:docGrid w:type="lines" w:linePitch="312" w:charSpace="0"/>
        </w:sectPr>
      </w:pPr>
    </w:p>
    <w:p w14:paraId="7BD1ADA0">
      <w:pPr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 xml:space="preserve">附件1 </w:t>
      </w:r>
    </w:p>
    <w:p w14:paraId="2F7CEE7C">
      <w:pPr>
        <w:pStyle w:val="3"/>
        <w:jc w:val="center"/>
        <w:rPr>
          <w:rFonts w:hint="eastAsia"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供  货  清  单</w:t>
      </w:r>
    </w:p>
    <w:tbl>
      <w:tblPr>
        <w:tblStyle w:val="7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2626"/>
        <w:gridCol w:w="761"/>
        <w:gridCol w:w="1857"/>
        <w:gridCol w:w="1985"/>
        <w:gridCol w:w="1134"/>
        <w:gridCol w:w="992"/>
        <w:gridCol w:w="1276"/>
        <w:gridCol w:w="1276"/>
        <w:gridCol w:w="2126"/>
      </w:tblGrid>
      <w:tr w14:paraId="5A25F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</w:trPr>
        <w:tc>
          <w:tcPr>
            <w:tcW w:w="710" w:type="dxa"/>
            <w:noWrap w:val="0"/>
            <w:vAlign w:val="center"/>
          </w:tcPr>
          <w:p w14:paraId="7FA48FFB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品目</w:t>
            </w:r>
          </w:p>
          <w:p w14:paraId="2E73B17C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2626" w:type="dxa"/>
            <w:noWrap w:val="0"/>
            <w:vAlign w:val="center"/>
          </w:tcPr>
          <w:p w14:paraId="156C1D87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品目名称</w:t>
            </w:r>
          </w:p>
        </w:tc>
        <w:tc>
          <w:tcPr>
            <w:tcW w:w="761" w:type="dxa"/>
            <w:noWrap w:val="0"/>
            <w:vAlign w:val="center"/>
          </w:tcPr>
          <w:p w14:paraId="244BA388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设备</w:t>
            </w:r>
          </w:p>
          <w:p w14:paraId="45C0862F">
            <w:pPr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1857" w:type="dxa"/>
            <w:noWrap w:val="0"/>
            <w:vAlign w:val="center"/>
          </w:tcPr>
          <w:p w14:paraId="4043CA0B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设备名称</w:t>
            </w:r>
          </w:p>
        </w:tc>
        <w:tc>
          <w:tcPr>
            <w:tcW w:w="1985" w:type="dxa"/>
            <w:noWrap w:val="0"/>
            <w:vAlign w:val="center"/>
          </w:tcPr>
          <w:p w14:paraId="75B0C663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规格型号</w:t>
            </w:r>
          </w:p>
        </w:tc>
        <w:tc>
          <w:tcPr>
            <w:tcW w:w="1134" w:type="dxa"/>
            <w:noWrap w:val="0"/>
            <w:vAlign w:val="center"/>
          </w:tcPr>
          <w:p w14:paraId="0236ED63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数量</w:t>
            </w:r>
          </w:p>
          <w:p w14:paraId="3A47B6E7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（台/套）</w:t>
            </w:r>
          </w:p>
        </w:tc>
        <w:tc>
          <w:tcPr>
            <w:tcW w:w="992" w:type="dxa"/>
            <w:noWrap w:val="0"/>
            <w:vAlign w:val="center"/>
          </w:tcPr>
          <w:p w14:paraId="28BF96DF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单价</w:t>
            </w:r>
          </w:p>
          <w:p w14:paraId="09DCDBB7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(万元)</w:t>
            </w:r>
          </w:p>
        </w:tc>
        <w:tc>
          <w:tcPr>
            <w:tcW w:w="1276" w:type="dxa"/>
            <w:noWrap w:val="0"/>
            <w:vAlign w:val="center"/>
          </w:tcPr>
          <w:p w14:paraId="65F3FE45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总价</w:t>
            </w:r>
          </w:p>
          <w:p w14:paraId="2B72DE41">
            <w:pPr>
              <w:widowControl/>
              <w:spacing w:line="240" w:lineRule="auto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（万元）</w:t>
            </w:r>
          </w:p>
        </w:tc>
        <w:tc>
          <w:tcPr>
            <w:tcW w:w="1276" w:type="dxa"/>
            <w:noWrap w:val="0"/>
            <w:vAlign w:val="center"/>
          </w:tcPr>
          <w:p w14:paraId="764087B3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品牌</w:t>
            </w:r>
          </w:p>
        </w:tc>
        <w:tc>
          <w:tcPr>
            <w:tcW w:w="2126" w:type="dxa"/>
            <w:noWrap w:val="0"/>
            <w:vAlign w:val="center"/>
          </w:tcPr>
          <w:p w14:paraId="32F1A9EE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厂家名称</w:t>
            </w:r>
          </w:p>
        </w:tc>
      </w:tr>
      <w:tr w14:paraId="78EDB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42815AC2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4C333524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00B8EBA4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12F0BBC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5EDF8F3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AFB5DA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D190A4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DEB23C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7E032A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58B82DEF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7F362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1FD83975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15031142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25604B10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0D48551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1154021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6A5B149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3BABD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DBE07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6AB4BA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5D8015F2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6E4B5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51A23C01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3CAB9002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5C4E06A0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287F18B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7B7B984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F99FA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328FD8A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9A68BD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575A3D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1FDD37D4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537BD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2DAD29D5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4FF6F5E5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5D5FE147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741FB19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2D20228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1F6271D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51BBDC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429AAA3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733AF83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37417756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546EC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4DB92D7B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0B0A9BA1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749A30B8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6E9A9D4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796F181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77AE29F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1A0ED7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8A73DE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553113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3BF8E61D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495248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58B1FE40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19733A6A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0F1405D3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108213C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57FF3B4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0446E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23BB3F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5E80F24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A12439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15C7A26E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6EB9D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78C2621D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579C2EA9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125D2C54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556F4E4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72C822FC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3AB00B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0B4E6B3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E29F62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13C15F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594BEA44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75E38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347362A9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74068A6C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5912BCD9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4494F2F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3CB51AD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29933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4BF2D17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2B8B50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33BC6FE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33FD8908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0080D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10" w:type="dxa"/>
            <w:noWrap w:val="0"/>
            <w:vAlign w:val="center"/>
          </w:tcPr>
          <w:p w14:paraId="0F2152D3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626" w:type="dxa"/>
            <w:noWrap w:val="0"/>
            <w:vAlign w:val="center"/>
          </w:tcPr>
          <w:p w14:paraId="0D767373">
            <w:pPr>
              <w:widowControl/>
              <w:spacing w:line="24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61" w:type="dxa"/>
            <w:noWrap w:val="0"/>
            <w:vAlign w:val="center"/>
          </w:tcPr>
          <w:p w14:paraId="445B215B"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noWrap w:val="0"/>
            <w:vAlign w:val="center"/>
          </w:tcPr>
          <w:p w14:paraId="317DEFA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985" w:type="dxa"/>
            <w:noWrap w:val="0"/>
            <w:vAlign w:val="center"/>
          </w:tcPr>
          <w:p w14:paraId="4E3BF53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34" w:type="dxa"/>
            <w:noWrap w:val="0"/>
            <w:vAlign w:val="center"/>
          </w:tcPr>
          <w:p w14:paraId="2744DEC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E6213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023ADA1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cs="宋体"/>
                <w:snapToGrid w:val="0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276" w:type="dxa"/>
            <w:noWrap w:val="0"/>
            <w:vAlign w:val="center"/>
          </w:tcPr>
          <w:p w14:paraId="13827A2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 w14:paraId="1933A65D">
            <w:pPr>
              <w:spacing w:line="240" w:lineRule="auto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 w14:paraId="605E9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4743" w:type="dxa"/>
            <w:gridSpan w:val="10"/>
            <w:noWrap w:val="0"/>
            <w:vAlign w:val="center"/>
          </w:tcPr>
          <w:p w14:paraId="584C830E">
            <w:pPr>
              <w:spacing w:line="240" w:lineRule="auto"/>
              <w:jc w:val="left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合计：  台/套； 金额人民币大写:    整（含增值税）（¥：   万元）</w:t>
            </w:r>
          </w:p>
        </w:tc>
      </w:tr>
    </w:tbl>
    <w:p w14:paraId="5E360258">
      <w:pPr>
        <w:pStyle w:val="3"/>
        <w:jc w:val="left"/>
        <w:rPr>
          <w:rFonts w:ascii="宋体" w:hAnsi="宋体" w:cs="宋体"/>
          <w:b/>
          <w:bCs/>
          <w:color w:val="000000"/>
          <w:sz w:val="21"/>
          <w:szCs w:val="21"/>
        </w:rPr>
        <w:sectPr>
          <w:headerReference r:id="rId7" w:type="default"/>
          <w:footerReference r:id="rId8" w:type="default"/>
          <w:pgSz w:w="16838" w:h="11906" w:orient="landscape"/>
          <w:pgMar w:top="1191" w:right="1440" w:bottom="1191" w:left="1440" w:header="851" w:footer="992" w:gutter="0"/>
          <w:cols w:space="720" w:num="1"/>
          <w:docGrid w:type="lines" w:linePitch="312" w:charSpace="0"/>
        </w:sectPr>
      </w:pPr>
    </w:p>
    <w:p w14:paraId="3F5B5A3A">
      <w:pPr>
        <w:pStyle w:val="3"/>
        <w:jc w:val="left"/>
        <w:rPr>
          <w:rFonts w:hint="eastAsia" w:ascii="宋体" w:hAnsi="宋体" w:cs="宋体"/>
          <w:b/>
          <w:bCs/>
          <w:color w:val="000000"/>
          <w:sz w:val="30"/>
          <w:szCs w:val="30"/>
        </w:rPr>
      </w:pPr>
      <w:r>
        <w:rPr>
          <w:rFonts w:hint="eastAsia" w:hAnsi="宋体" w:cs="宋体"/>
          <w:b/>
          <w:bCs/>
          <w:color w:val="000000"/>
        </w:rPr>
        <w:t>附件2</w:t>
      </w:r>
    </w:p>
    <w:p w14:paraId="7F1A4365">
      <w:pPr>
        <w:pStyle w:val="2"/>
        <w:ind w:firstLine="301"/>
        <w:jc w:val="center"/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shd w:val="clear" w:color="auto" w:fill="FFFFFF"/>
        </w:rPr>
      </w:pPr>
      <w:r>
        <w:rPr>
          <w:rFonts w:hint="eastAsia" w:ascii="宋体" w:hAnsi="宋体" w:cs="宋体"/>
          <w:b/>
          <w:bCs/>
          <w:color w:val="000000"/>
          <w:kern w:val="0"/>
          <w:sz w:val="30"/>
          <w:szCs w:val="30"/>
          <w:shd w:val="clear" w:color="auto" w:fill="FFFFFF"/>
        </w:rPr>
        <w:t>技术参数</w:t>
      </w:r>
    </w:p>
    <w:p w14:paraId="7E093015">
      <w:pPr>
        <w:pStyle w:val="2"/>
        <w:spacing w:line="240" w:lineRule="auto"/>
        <w:ind w:left="2" w:firstLine="0" w:firstLineChars="0"/>
        <w:rPr>
          <w:rFonts w:hint="eastAsia" w:ascii="宋体" w:hAnsi="宋体"/>
          <w:color w:val="000000"/>
          <w:sz w:val="21"/>
        </w:rPr>
      </w:pPr>
    </w:p>
    <w:p w14:paraId="31E97B95">
      <w:bookmarkStart w:id="0" w:name="_GoBack"/>
      <w:bookmarkEnd w:id="0"/>
    </w:p>
    <w:sectPr>
      <w:pgSz w:w="11906" w:h="16838"/>
      <w:pgMar w:top="1440" w:right="1304" w:bottom="1440" w:left="1304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3B7D4D">
    <w:pPr>
      <w:pStyle w:val="5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4</w:t>
    </w:r>
    <w:r>
      <w:fldChar w:fldCharType="end"/>
    </w:r>
  </w:p>
  <w:p w14:paraId="2E5F8F5C"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BE21A3">
    <w:pPr>
      <w:pStyle w:val="5"/>
      <w:jc w:val="center"/>
      <w:rPr>
        <w:rFonts w:hint="eastAsia"/>
      </w:rPr>
    </w:pPr>
  </w:p>
  <w:p w14:paraId="34243B51"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FF83BB">
    <w:pPr>
      <w:pStyle w:val="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8</w:t>
    </w:r>
    <w:r>
      <w:fldChar w:fldCharType="end"/>
    </w:r>
  </w:p>
  <w:p w14:paraId="71FCEA9D">
    <w:pPr>
      <w:pStyle w:val="5"/>
      <w:ind w:firstLine="90" w:firstLineChars="50"/>
      <w:rPr>
        <w:rFonts w:hint="eastAsia"/>
      </w:rPr>
    </w:pPr>
    <w:r>
      <w:rPr>
        <w:rFonts w:hint="eastAsia"/>
      </w:rPr>
      <w:t xml:space="preserve">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2CE340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5A4636"/>
    <w:rsid w:val="545A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0"/>
    <w:pPr>
      <w:spacing w:after="120" w:line="360" w:lineRule="auto"/>
      <w:ind w:firstLine="420" w:firstLineChars="100"/>
      <w:jc w:val="left"/>
    </w:pPr>
    <w:rPr>
      <w:szCs w:val="21"/>
    </w:r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Plain Text"/>
    <w:basedOn w:val="1"/>
    <w:next w:val="1"/>
    <w:qFormat/>
    <w:uiPriority w:val="0"/>
    <w:rPr>
      <w:rFonts w:ascii="宋体" w:hAnsi="Courier New"/>
      <w:szCs w:val="21"/>
    </w:rPr>
  </w:style>
  <w:style w:type="paragraph" w:styleId="5">
    <w:name w:val="footer"/>
    <w:basedOn w:val="1"/>
    <w:next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customStyle="1" w:styleId="9">
    <w:name w:val="A节1正文"/>
    <w:basedOn w:val="1"/>
    <w:qFormat/>
    <w:uiPriority w:val="0"/>
    <w:pPr>
      <w:widowControl/>
      <w:adjustRightInd w:val="0"/>
      <w:snapToGrid w:val="0"/>
      <w:spacing w:before="120" w:line="300" w:lineRule="auto"/>
      <w:ind w:firstLine="420"/>
    </w:pPr>
    <w:rPr>
      <w:rFonts w:ascii="Arial" w:hAnsi="Arial" w:cs="Arial"/>
      <w:iCs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header" Target="header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2025-11-21T03:22:00Z</dcterms:created>
  <dc:creator>飞翔</dc:creator>
  <cp:lastModifiedBy>飞翔</cp:lastModifiedBy>
  <dcterms:modified xsi:type="dcterms:W3CDTF">2025-11-21T03:22:27Z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165AA11E66944A38A19CD9ABAB952C70_11</vt:lpwstr>
  </property>
  <property fmtid="{D5CDD505-2E9C-101B-9397-08002B2CF9AE}" pid="4" name="KSOTemplateDocerSaveRecord">
    <vt:lpwstr>eyJoZGlkIjoiY2ZiNzNmYzgyZWUyYzhlNzUxNzUzNzIwMzUyNWQyODEiLCJ1c2VySWQiOiI0MjA3MDUxNzEifQ==</vt:lpwstr>
  </property>
</Properties>
</file>