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版本号：DCZB-2025-XA-Z03720251118001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陕北地区小型水库及补网强链工程实施方案</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DCZB-2025-XA-Z037</w:t>
      </w:r>
      <w:r>
        <w:br/>
      </w:r>
      <w:r>
        <w:br/>
      </w:r>
      <w:r>
        <w:br/>
      </w:r>
    </w:p>
    <w:p>
      <w:pPr>
        <w:pStyle w:val="null3"/>
        <w:jc w:val="center"/>
        <w:outlineLvl w:val="2"/>
      </w:pPr>
      <w:r>
        <w:rPr>
          <w:rFonts w:ascii="仿宋_GB2312" w:hAnsi="仿宋_GB2312" w:cs="仿宋_GB2312" w:eastAsia="仿宋_GB2312"/>
          <w:sz w:val="28"/>
          <w:b/>
        </w:rPr>
        <w:t>陕西省水利厅机关</w:t>
      </w:r>
    </w:p>
    <w:p>
      <w:pPr>
        <w:pStyle w:val="null3"/>
        <w:jc w:val="center"/>
        <w:outlineLvl w:val="2"/>
      </w:pPr>
      <w:r>
        <w:rPr>
          <w:rFonts w:ascii="仿宋_GB2312" w:hAnsi="仿宋_GB2312" w:cs="仿宋_GB2312" w:eastAsia="仿宋_GB2312"/>
          <w:sz w:val="28"/>
          <w:b/>
        </w:rPr>
        <w:t>陕西顶诚招标有限公司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陕西顶诚招标有限公司</w:t>
      </w:r>
      <w:r>
        <w:rPr>
          <w:rFonts w:ascii="仿宋_GB2312" w:hAnsi="仿宋_GB2312" w:cs="仿宋_GB2312" w:eastAsia="仿宋_GB2312"/>
        </w:rPr>
        <w:t>（以下简称“代理机构”）受</w:t>
      </w:r>
      <w:r>
        <w:rPr>
          <w:rFonts w:ascii="仿宋_GB2312" w:hAnsi="仿宋_GB2312" w:cs="仿宋_GB2312" w:eastAsia="仿宋_GB2312"/>
        </w:rPr>
        <w:t>陕西省水利厅机关</w:t>
      </w:r>
      <w:r>
        <w:rPr>
          <w:rFonts w:ascii="仿宋_GB2312" w:hAnsi="仿宋_GB2312" w:cs="仿宋_GB2312" w:eastAsia="仿宋_GB2312"/>
        </w:rPr>
        <w:t>委托，拟对</w:t>
      </w:r>
      <w:r>
        <w:rPr>
          <w:rFonts w:ascii="仿宋_GB2312" w:hAnsi="仿宋_GB2312" w:cs="仿宋_GB2312" w:eastAsia="仿宋_GB2312"/>
        </w:rPr>
        <w:t>陕北地区小型水库及补网强链工程实施方案</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DCZB-2025-XA-Z037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陕北地区小型水库及补网强链工程实施方案</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工作任务：结合省、市、县水网规划，立足陕北地区实际和发展需求，系统梳理分析榆林市、延安市小型水库规划建设的必要性、可行性、工程任务和规模、前期工作进展情况，以及区域水网联网补网的可行性和必要性，提出陕北地区小型水库和水网联网补网的主要目标和重点任务，编制陕北地区小型水库建设工作方案和陕北地区水网联网补网方案，实施期限为2025～2030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1、法定代表人证明及法定代表人授权书：法定代表人直接参加磋商的提供法定代表人证明及其身份证；授权代表参与磋商的提供法定代表人授权书（附法定代表人及授权代表身份证）；非法人单位参照执行。</w:t>
      </w:r>
    </w:p>
    <w:p>
      <w:pPr>
        <w:pStyle w:val="null3"/>
      </w:pPr>
      <w:r>
        <w:rPr>
          <w:rFonts w:ascii="仿宋_GB2312" w:hAnsi="仿宋_GB2312" w:cs="仿宋_GB2312" w:eastAsia="仿宋_GB2312"/>
        </w:rPr>
        <w:t>2、信用要求：未被列入“信用中国”及“中国政府采购网”失信行为记录。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陕西省水利厅机关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尚德路150号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董少军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029-61835047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陕西顶诚招标有限公司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西安市灞桥区长乐东路2999号京都国际3号楼1506室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张浩、黄建峰、王景华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029-83479858-802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开户名称：陕西顶诚招标有限公司</w:t>
            </w:r>
          </w:p>
          <w:p>
            <w:pPr>
              <w:pStyle w:val="null3"/>
            </w:pPr>
            <w:r>
              <w:rPr>
                <w:rFonts w:ascii="仿宋_GB2312" w:hAnsi="仿宋_GB2312" w:cs="仿宋_GB2312" w:eastAsia="仿宋_GB2312"/>
              </w:rPr>
              <w:t>开户银行：西安银行股份有限公司向阳支行</w:t>
            </w:r>
          </w:p>
          <w:p>
            <w:pPr>
              <w:pStyle w:val="null3"/>
            </w:pPr>
            <w:r>
              <w:rPr>
                <w:rFonts w:ascii="仿宋_GB2312" w:hAnsi="仿宋_GB2312" w:cs="仿宋_GB2312" w:eastAsia="仿宋_GB2312"/>
              </w:rPr>
              <w:t>银行账号：382011580000025778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及（发改办价格〔2011〕534号）服务类规定下浮10%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陕西省水利厅机关</w:t>
      </w:r>
      <w:r>
        <w:rPr>
          <w:rFonts w:ascii="仿宋_GB2312" w:hAnsi="仿宋_GB2312" w:cs="仿宋_GB2312" w:eastAsia="仿宋_GB2312"/>
        </w:rPr>
        <w:t>和</w:t>
      </w:r>
      <w:r>
        <w:rPr>
          <w:rFonts w:ascii="仿宋_GB2312" w:hAnsi="仿宋_GB2312" w:cs="仿宋_GB2312" w:eastAsia="仿宋_GB2312"/>
        </w:rPr>
        <w:t>陕西顶诚招标有限公司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陕西省水利厅机关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陕西顶诚招标有限公司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陕西省水利厅机关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陕西顶诚招标有限公司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1）成果递交后，成交人向采购人提交验收申请。2）采购人收到验收申请后组织验收。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陕西顶诚招标有限公司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陕西顶诚招标有限公司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陕西顶诚招标有限公司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联系人：张浩</w:t>
      </w:r>
    </w:p>
    <w:p>
      <w:pPr>
        <w:pStyle w:val="null3"/>
      </w:pPr>
      <w:r>
        <w:rPr>
          <w:rFonts w:ascii="仿宋_GB2312" w:hAnsi="仿宋_GB2312" w:cs="仿宋_GB2312" w:eastAsia="仿宋_GB2312"/>
        </w:rPr>
        <w:t>联系电话：029-83479858-802</w:t>
      </w:r>
    </w:p>
    <w:p>
      <w:pPr>
        <w:pStyle w:val="null3"/>
      </w:pPr>
      <w:r>
        <w:rPr>
          <w:rFonts w:ascii="仿宋_GB2312" w:hAnsi="仿宋_GB2312" w:cs="仿宋_GB2312" w:eastAsia="仿宋_GB2312"/>
        </w:rPr>
        <w:t>地址：西安市灞桥区长乐东路2999号京都国际3号楼1506室</w:t>
      </w:r>
    </w:p>
    <w:p>
      <w:pPr>
        <w:pStyle w:val="null3"/>
      </w:pPr>
      <w:r>
        <w:rPr>
          <w:rFonts w:ascii="仿宋_GB2312" w:hAnsi="仿宋_GB2312" w:cs="仿宋_GB2312" w:eastAsia="仿宋_GB2312"/>
        </w:rPr>
        <w:t>邮编：710038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工作任务：结合省、市、县水网规划，立足陕北地区实际和发展需求，系统梳理分析榆林市、延安市小型水库规划建设的必要性、可行性、工程任务和规模、前期工作进展情况，以及区域水网联网补网的可行性和必要性，提出陕北地区小型水库和水网联网补网的主要目标和重点任务，编制陕北地区小型水库建设工作方案和陕北地区水网联网补网方案，实施期限为2025～2030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2,300,000.00</w:t>
      </w:r>
    </w:p>
    <w:p>
      <w:pPr>
        <w:pStyle w:val="null3"/>
      </w:pPr>
      <w:r>
        <w:rPr>
          <w:rFonts w:ascii="仿宋_GB2312" w:hAnsi="仿宋_GB2312" w:cs="仿宋_GB2312" w:eastAsia="仿宋_GB2312"/>
        </w:rPr>
        <w:t>采购包最高限价（元）: 2,300,000.00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陕北地区小型水库及补网强链工程实施方案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标的名称：陕北地区小型水库及补网强链工程实施方案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、工作内容</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1）调研查勘</w:t>
            </w:r>
          </w:p>
          <w:p>
            <w:pPr>
              <w:pStyle w:val="null3"/>
              <w:ind w:firstLine="480"/>
              <w:jc w:val="both"/>
            </w:pPr>
            <w:r>
              <w:rPr>
                <w:rFonts w:ascii="仿宋_GB2312" w:hAnsi="仿宋_GB2312" w:cs="仿宋_GB2312" w:eastAsia="仿宋_GB2312"/>
                <w:sz w:val="24"/>
              </w:rPr>
              <w:t>分赴延安、榆林两市各县及工程建设地点，收集更为详实的资料，掌握项目最新进展情况，包括前期工作推进、资金筹措、项目管理以及在推进过程中存在的突出问题和解决思路措施等。</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2）基础分析</w:t>
            </w:r>
          </w:p>
          <w:p>
            <w:pPr>
              <w:pStyle w:val="null3"/>
              <w:ind w:firstLine="480"/>
              <w:jc w:val="both"/>
            </w:pPr>
            <w:r>
              <w:rPr>
                <w:rFonts w:ascii="仿宋_GB2312" w:hAnsi="仿宋_GB2312" w:cs="仿宋_GB2312" w:eastAsia="仿宋_GB2312"/>
                <w:sz w:val="24"/>
              </w:rPr>
              <w:t>全面分析截至</w:t>
            </w:r>
            <w:r>
              <w:rPr>
                <w:rFonts w:ascii="仿宋_GB2312" w:hAnsi="仿宋_GB2312" w:cs="仿宋_GB2312" w:eastAsia="仿宋_GB2312"/>
                <w:sz w:val="24"/>
              </w:rPr>
              <w:t>2023年底陕北地区水利基础设施建设情况，重点分析小型水库建设情况。全面分析梳理中央、相关部委和陕西省、市、县关于水网建设的支持政策。系统分析延安、榆林两市水网联网补网建设状况，为有序推进各级水网建设夯实基础。</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3）编制陕北地区小型水库建设工作方案</w:t>
            </w:r>
          </w:p>
          <w:p>
            <w:pPr>
              <w:pStyle w:val="null3"/>
              <w:ind w:firstLine="480"/>
              <w:jc w:val="both"/>
            </w:pPr>
            <w:r>
              <w:rPr>
                <w:rFonts w:ascii="仿宋_GB2312" w:hAnsi="仿宋_GB2312" w:cs="仿宋_GB2312" w:eastAsia="仿宋_GB2312"/>
                <w:sz w:val="24"/>
              </w:rPr>
              <w:t>系统分析陕北地区小型水库建设现状与面临形势；明确陕北地区小型水库建设工作的指导思想、基本原则和建设目标等；系统梳理分析榆林市、延安市小型水库规划建设的必要性、可行性、工程任务和规模、前期工作进展情况；研究提出陕北地区小型水库建设筛选原则、分期建设规模和实施安排；开展实施效果评价；提出工程建设的保障措施。</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4）编制陕北地区水网联网补网方案</w:t>
            </w:r>
          </w:p>
          <w:p>
            <w:pPr>
              <w:pStyle w:val="null3"/>
              <w:ind w:firstLine="480"/>
              <w:jc w:val="both"/>
            </w:pPr>
            <w:r>
              <w:rPr>
                <w:rFonts w:ascii="仿宋_GB2312" w:hAnsi="仿宋_GB2312" w:cs="仿宋_GB2312" w:eastAsia="仿宋_GB2312"/>
                <w:sz w:val="24"/>
              </w:rPr>
              <w:t>开展陕北地区水网建设现状、水网补网强链需求和省市县水网工程布局分析，明确补网强链建设总体方案，提出骨干水网工程扩面延伸、区域水网工程补网强链、四级水网结点工程建设、加快推进数字孪生、加强体制机制建设实施安排，从组织领导、要素保障、监督管理等方面提出补网强链工程相关保障措施。</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5）编制陕北地区小型水库建设需求分析专题报告</w:t>
            </w:r>
          </w:p>
          <w:p>
            <w:pPr>
              <w:pStyle w:val="null3"/>
              <w:ind w:firstLine="480"/>
              <w:jc w:val="both"/>
            </w:pPr>
            <w:r>
              <w:rPr>
                <w:rFonts w:ascii="仿宋_GB2312" w:hAnsi="仿宋_GB2312" w:cs="仿宋_GB2312" w:eastAsia="仿宋_GB2312"/>
                <w:sz w:val="24"/>
              </w:rPr>
              <w:t>在全面梳理分析省、市、县在陕北地区提出的小型水库建设相关规划及研究成果基础上，结合各级水网规划提出的结点调蓄工程总体布局，立足新发展阶段，完整、准确、全面贯彻新发展理念，落实加强雨洪资源利用和做大陕北地区</w:t>
            </w:r>
            <w:r>
              <w:rPr>
                <w:rFonts w:ascii="仿宋_GB2312" w:hAnsi="仿宋_GB2312" w:cs="仿宋_GB2312" w:eastAsia="仿宋_GB2312"/>
                <w:sz w:val="24"/>
              </w:rPr>
              <w:t>“盛水的盆”的指示要求，分析区域水资源条件、小型水库保障范围和榆林、延安两市城乡生活、农业灌溉、工业发展对工程的建设需求，为编制陕北地区小型水库建设工作方案提供支撑。</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6）编制陕北地区小型水库建设任务及规模分析专题报告</w:t>
            </w:r>
          </w:p>
          <w:p>
            <w:pPr>
              <w:pStyle w:val="null3"/>
              <w:ind w:firstLine="480"/>
              <w:jc w:val="both"/>
            </w:pPr>
            <w:r>
              <w:rPr>
                <w:rFonts w:ascii="仿宋_GB2312" w:hAnsi="仿宋_GB2312" w:cs="仿宋_GB2312" w:eastAsia="仿宋_GB2312"/>
                <w:sz w:val="24"/>
              </w:rPr>
              <w:t>结合陕北地区小型水库工程前期工作进展和当地城乡、农业、工业等的规划布局和发展规模，在准确把握区域发展与小型水库建设供求关系基础上，系统分析梳理陕北地区所有小型水库的建设任务。牢固树立生态优先理念，分析水库建设与河流水沙条件、河道内生态用水需求的关系，总体把控水库规模，为编制陕北地区小型水库建设工作方案提供支撑。</w:t>
            </w:r>
          </w:p>
          <w:p>
            <w:pPr>
              <w:pStyle w:val="null3"/>
              <w:ind w:firstLine="482"/>
              <w:jc w:val="both"/>
            </w:pPr>
            <w:r>
              <w:rPr>
                <w:rFonts w:ascii="仿宋_GB2312" w:hAnsi="仿宋_GB2312" w:cs="仿宋_GB2312" w:eastAsia="仿宋_GB2312"/>
                <w:sz w:val="24"/>
                <w:b/>
              </w:rPr>
              <w:t>2、其他要求</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1）绘制相关图件要求</w:t>
            </w:r>
          </w:p>
          <w:p>
            <w:pPr>
              <w:pStyle w:val="null3"/>
              <w:ind w:firstLine="480"/>
              <w:jc w:val="both"/>
            </w:pPr>
            <w:r>
              <w:rPr>
                <w:rFonts w:ascii="仿宋_GB2312" w:hAnsi="仿宋_GB2312" w:cs="仿宋_GB2312" w:eastAsia="仿宋_GB2312"/>
                <w:sz w:val="24"/>
              </w:rPr>
              <w:t>结合方案编制、汇报展示和宣传需要，绘制陕北地区小型水库建设和水网联网补网等的相关图件。</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2）方案咨询要求</w:t>
            </w:r>
          </w:p>
          <w:p>
            <w:pPr>
              <w:pStyle w:val="null3"/>
              <w:ind w:firstLine="480"/>
              <w:jc w:val="both"/>
            </w:pPr>
            <w:r>
              <w:rPr>
                <w:rFonts w:ascii="仿宋_GB2312" w:hAnsi="仿宋_GB2312" w:cs="仿宋_GB2312" w:eastAsia="仿宋_GB2312"/>
                <w:sz w:val="24"/>
              </w:rPr>
              <w:t>邀请水利及相关行业和部门的资深专家，对方案各阶段成果进行咨询。按照专家意见进行修改完善。</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3）成果审查要求</w:t>
            </w:r>
          </w:p>
          <w:p>
            <w:pPr>
              <w:pStyle w:val="null3"/>
              <w:ind w:firstLine="480"/>
              <w:jc w:val="both"/>
            </w:pPr>
            <w:r>
              <w:rPr>
                <w:rFonts w:ascii="仿宋_GB2312" w:hAnsi="仿宋_GB2312" w:cs="仿宋_GB2312" w:eastAsia="仿宋_GB2312"/>
                <w:sz w:val="24"/>
              </w:rPr>
              <w:t>1）审查准备：准备汇报多媒体、方案报告、汇报挂图。</w:t>
            </w:r>
          </w:p>
          <w:p>
            <w:pPr>
              <w:pStyle w:val="null3"/>
              <w:ind w:firstLine="480"/>
              <w:jc w:val="both"/>
            </w:pPr>
            <w:r>
              <w:rPr>
                <w:rFonts w:ascii="仿宋_GB2312" w:hAnsi="仿宋_GB2312" w:cs="仿宋_GB2312" w:eastAsia="仿宋_GB2312"/>
                <w:sz w:val="24"/>
              </w:rPr>
              <w:t>2）审查后修改：根据审查意见，对报告、图纸等成果进行修改。</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4）成果递交要求</w:t>
            </w:r>
          </w:p>
          <w:p>
            <w:pPr>
              <w:pStyle w:val="null3"/>
              <w:ind w:firstLine="480"/>
              <w:jc w:val="both"/>
            </w:pPr>
            <w:r>
              <w:rPr>
                <w:rFonts w:ascii="仿宋_GB2312" w:hAnsi="仿宋_GB2312" w:cs="仿宋_GB2312" w:eastAsia="仿宋_GB2312"/>
                <w:sz w:val="24"/>
              </w:rPr>
              <w:t>1）《陕北地区小型水库建设工作方案》。</w:t>
            </w:r>
          </w:p>
          <w:p>
            <w:pPr>
              <w:pStyle w:val="null3"/>
              <w:ind w:firstLine="480"/>
              <w:jc w:val="both"/>
            </w:pPr>
            <w:r>
              <w:rPr>
                <w:rFonts w:ascii="仿宋_GB2312" w:hAnsi="仿宋_GB2312" w:cs="仿宋_GB2312" w:eastAsia="仿宋_GB2312"/>
                <w:sz w:val="24"/>
              </w:rPr>
              <w:t>2）《陕北地区水网联网补网方案》。</w:t>
            </w:r>
          </w:p>
          <w:p>
            <w:pPr>
              <w:pStyle w:val="null3"/>
              <w:ind w:firstLine="480"/>
              <w:jc w:val="both"/>
            </w:pPr>
            <w:r>
              <w:rPr>
                <w:rFonts w:ascii="仿宋_GB2312" w:hAnsi="仿宋_GB2312" w:cs="仿宋_GB2312" w:eastAsia="仿宋_GB2312"/>
                <w:sz w:val="24"/>
              </w:rPr>
              <w:t>3）《陕北地区小型水库建设需求分析专题报告》。</w:t>
            </w:r>
          </w:p>
          <w:p>
            <w:pPr>
              <w:pStyle w:val="null3"/>
              <w:ind w:firstLine="480"/>
              <w:jc w:val="both"/>
            </w:pPr>
            <w:r>
              <w:rPr>
                <w:rFonts w:ascii="仿宋_GB2312" w:hAnsi="仿宋_GB2312" w:cs="仿宋_GB2312" w:eastAsia="仿宋_GB2312"/>
                <w:sz w:val="24"/>
              </w:rPr>
              <w:t>4）《陕北地区小型水库建设任务及规模分析专题报告》。</w:t>
            </w:r>
          </w:p>
          <w:p>
            <w:pPr>
              <w:pStyle w:val="null3"/>
              <w:ind w:firstLine="48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具有履行合同所必需的专业技术能力人员，要求人员为供应商在职人员，具体详见评审细则及标准。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具有履行合同所必须的设备，满足项目需求。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1）服务范围：陕北地区小型水库及补网强链工程实施方案。2）服务要求：满足采购技术要求。3）服务标准：满足国家及行业相关技术规范要求。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成果递交期：12个月。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成果递交地点：陕西省水利厅。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果递交后，成交人向采购人提交验收申请。2）采购人收到验收申请后组织验收，验收时成交人应无条件予以配合并提供验收所需的全部资料，若成交人不配合或者未按合同要求提供服务的，采购人将拒绝验收。3）验收依据：磋商文件、响应文件、合同文本、国内相应的标准及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提交成果初稿后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全部工作完成并通过验收后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2）供应商未按合同要求提供货物与服务或货物与服务质量不能满足技术要求，且在规定时间内未达到合同约定的，采购人有权终止合同，对采购人造成经济等损失的，采购人有权进行追责。</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负责完成本项目采购需求内的一切事项，并完成相关工作。凡涉及与本项目服务相关的成果出具、方案咨询、税金、验收等，所有费用一次性计入投标总价，合同履约过程中采购人不再支付其他额外费用。2）供应商为本项目实施涉及的商品包装和快递包装，均符合《商品包装政府采购需求标准（试行）》、《快递包装政府采购需求标准（试行）》要求。由于其包装或防护措施不妥而引起的损坏和丢失等造成的损失，供应商自行承担。3）服务时限要求，2小时内远程响应，12小时内给出解决方案，若远程无法解决问题48小时内安排专人到达现场。4）供应商应保证对采购人提供的资料，以及对项目实施过程中知悉的秘密（包括不限于国家秘密、科研秘密、商业秘密、群众个人信息等所有秘密）履行保密义务，不得就所涉及的秘密及敏感信息以单位或者个人名义公开披露和公开发表观点。5）供应商应保证投标服务及货物不会出现因第三方提出侵犯其专利权、商标权或其它知识产权而引发法律或经济纠纷，否则由供应商承担全部责任。任何被供应商用于未经授权的商业目的行为所造成的违约或侵权责任由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2）具有履行合同所必需的设备和专业技术能力（提供承诺函）；3）有依法缴纳税收和社会保障资金的良好记录税收缴纳证明：提供响应文件提交截止时间前十二个月内任意一月已缴纳的纳税证明或完税证明（包含增值税、企业所得税至少一种），依法免税或不需要缴纳税收的供应商应提供相关证明文件；社保缴纳证明：提供响应文件提交截止时间前十二个月内任意一月已缴存的社会保障资金缴费证明或参保证明，依法不需要缴纳社会保障资金的供应商应提供相关证明文件；4）参加政府采购活动前三年内，在经营活动中没有重大违法记录（提供书面声明）；5）法律、行政法规规定的其他条件（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提供2024年度经审计的财务报告或本年度基本存款账户开户银行出具的资信证明或政府采购信用担保机构出具的投标担保函；供应商需在项目电子化交易系统中按要求上传相应证明文件并进行电子签章。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供应商需在项目电子化交易系统中按要求提供承诺函并进行电子签章。</w:t>
            </w:r>
          </w:p>
        </w:tc>
        <w:tc>
          <w:tcPr>
            <w:tcW w:type="dxa" w:w="1661"/>
          </w:tcPr>
          <w:p>
            <w:pPr>
              <w:pStyle w:val="null3"/>
            </w:pPr>
            <w:r>
              <w:rPr>
                <w:rFonts w:ascii="仿宋_GB2312" w:hAnsi="仿宋_GB2312" w:cs="仿宋_GB2312" w:eastAsia="仿宋_GB2312"/>
              </w:rPr>
              <w:t>响应文件（格式）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法定代表人证明及法定代表人授权书</w:t>
            </w:r>
          </w:p>
        </w:tc>
        <w:tc>
          <w:tcPr>
            <w:tcW w:type="dxa" w:w="3322"/>
          </w:tcPr>
          <w:p>
            <w:pPr>
              <w:pStyle w:val="null3"/>
            </w:pPr>
            <w:r>
              <w:rPr>
                <w:rFonts w:ascii="仿宋_GB2312" w:hAnsi="仿宋_GB2312" w:cs="仿宋_GB2312" w:eastAsia="仿宋_GB2312"/>
              </w:rPr>
              <w:t>法定代表人直接参加磋商的提供法定代表人证明及其身份证；授权代表参与磋商的提供法定代表人授权书（附法定代表人及授权代表身份证）；非法人单位参照执行。</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未被列入“信用中国”及“中国政府采购网”失信行为记录。</w:t>
            </w:r>
          </w:p>
        </w:tc>
        <w:tc>
          <w:tcPr>
            <w:tcW w:type="dxa" w:w="1661"/>
          </w:tcPr>
          <w:p>
            <w:pPr>
              <w:pStyle w:val="null3"/>
            </w:pPr>
            <w:r>
              <w:rPr>
                <w:rFonts w:ascii="仿宋_GB2312" w:hAnsi="仿宋_GB2312" w:cs="仿宋_GB2312" w:eastAsia="仿宋_GB2312"/>
              </w:rPr>
              <w:t>响应文件（格式）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响应文件（格式）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按磋商文件要求编制响应文件，满足磋商文件第二章实质性要求条款。</w:t>
            </w:r>
          </w:p>
        </w:tc>
        <w:tc>
          <w:tcPr>
            <w:tcW w:type="dxa" w:w="1661"/>
          </w:tcPr>
          <w:p>
            <w:pPr>
              <w:pStyle w:val="null3"/>
            </w:pPr>
            <w:r>
              <w:rPr>
                <w:rFonts w:ascii="仿宋_GB2312" w:hAnsi="仿宋_GB2312" w:cs="仿宋_GB2312" w:eastAsia="仿宋_GB2312"/>
              </w:rPr>
              <w:t>响应文件封面 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响应报价唯一，且不高于最高限价。</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投标方案</w:t>
            </w:r>
          </w:p>
        </w:tc>
        <w:tc>
          <w:tcPr>
            <w:tcW w:type="dxa" w:w="3322"/>
          </w:tcPr>
          <w:p>
            <w:pPr>
              <w:pStyle w:val="null3"/>
            </w:pPr>
            <w:r>
              <w:rPr>
                <w:rFonts w:ascii="仿宋_GB2312" w:hAnsi="仿宋_GB2312" w:cs="仿宋_GB2312" w:eastAsia="仿宋_GB2312"/>
              </w:rPr>
              <w:t>投标方案唯一，不接受备选方案。</w:t>
            </w:r>
          </w:p>
        </w:tc>
        <w:tc>
          <w:tcPr>
            <w:tcW w:type="dxa" w:w="1661"/>
          </w:tcPr>
          <w:p>
            <w:pPr>
              <w:pStyle w:val="null3"/>
            </w:pPr>
            <w:r>
              <w:rPr>
                <w:rFonts w:ascii="仿宋_GB2312" w:hAnsi="仿宋_GB2312" w:cs="仿宋_GB2312" w:eastAsia="仿宋_GB2312"/>
              </w:rPr>
              <w:t>响应文件（格式）</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总体要求</w:t>
            </w:r>
          </w:p>
        </w:tc>
        <w:tc>
          <w:tcPr>
            <w:tcW w:type="dxa" w:w="2492"/>
          </w:tcPr>
          <w:p>
            <w:pPr>
              <w:pStyle w:val="null3"/>
            </w:pPr>
            <w:r>
              <w:rPr>
                <w:rFonts w:ascii="仿宋_GB2312" w:hAnsi="仿宋_GB2312" w:cs="仿宋_GB2312" w:eastAsia="仿宋_GB2312"/>
              </w:rPr>
              <w:t>针对本项目有①项目理解、②工作思路、③工作原则、④合理化建议。 1.总体要求共4项，供应商提供的方案内容完全满足采购需求，每项计3分，最高计12分； 2.提供的方案内容基本满足采购需求，每项计2分； 3.提供的方案内容不详尽或不完全适用于本项目每项计1分；未提供不计分。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有服务方案，包含①调研查勘、②基础分析、③编制陕北地区小型水库建设工作方案、④编制陕北地区水网联网补网方案、⑤编制陕北地区小型水库建设需求分析专题报告、⑥编制陕北地区小型水库建设任务及规模分析专题报告 1.服务方案共6项，供应商提供的方案内容完全满足采购需求，每项计3分，最高计18分； 2.提供的方案内容基本满足采购需求，每项计2分； 3.提供的方案内容不详尽或不完全适用于本项目每项计1分；未提供不计分。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①提出本项目实施过程中容易出错或忽略的重点、难点分析、②针对所提出的重点、难点有相应的解决方案。 1.重点、难点分析共2项，供应商提供的方案内容完全满足采购需求，每项计4分，最高计8分； 2.提供的方案内容基本满足采购需求，每项计2分； 3.提供的方案内容不详尽或不完全适用于本项目每项计1分；未提供不计分。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进度组织安排</w:t>
            </w:r>
          </w:p>
        </w:tc>
        <w:tc>
          <w:tcPr>
            <w:tcW w:type="dxa" w:w="2492"/>
          </w:tcPr>
          <w:p>
            <w:pPr>
              <w:pStyle w:val="null3"/>
            </w:pPr>
            <w:r>
              <w:rPr>
                <w:rFonts w:ascii="仿宋_GB2312" w:hAnsi="仿宋_GB2312" w:cs="仿宋_GB2312" w:eastAsia="仿宋_GB2312"/>
              </w:rPr>
              <w:t>针对本项目提供①项目进度安排、②组织协调措施。 1.进度组织安排共2项，供应商提供的方案内容完全满足采购需求，每项计4分，最高计8分； 2.提供的方案内容基本满足采购需求，每项计2分； 3.提供的方案内容不详尽或不完全适用于本项目每项计1分；未提供不计分。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项目团队：投入本项目人员须为供应商在职人员，提供证明材料，否则不计分。 ①人员数量：提供人员在10人及以上的计4分； 提供5人及以上，10人以下计1分； 5人以下不计分；未提供人员不计分。 ②项目负责人具有“水利类专业”高级职称计2分，中级职称计1分，提供证书复印件，未提供不计分。 ③除项目负责人以外的其他人员，每1人具有“水利类专业”高级职称计2分，中级职称计1分，最高计8分，提供证书复印件，未提供不计分。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应急方案及措施等</w:t>
            </w:r>
          </w:p>
        </w:tc>
        <w:tc>
          <w:tcPr>
            <w:tcW w:type="dxa" w:w="2492"/>
          </w:tcPr>
          <w:p>
            <w:pPr>
              <w:pStyle w:val="null3"/>
            </w:pPr>
            <w:r>
              <w:rPr>
                <w:rFonts w:ascii="仿宋_GB2312" w:hAnsi="仿宋_GB2312" w:cs="仿宋_GB2312" w:eastAsia="仿宋_GB2312"/>
              </w:rPr>
              <w:t>针对本项目提供有①应急方案及补救措施、②保密措施、③验收措施。 1.应急方案及措施等共3项，供应商提供的方案内容完全满足采购需求，每项计3分，最高计9分； 2.提供的方案内容基本满足采购需求，每项计2分； 3.提供的方案内容不详尽或不完全适用于本项目每项计1分；未提供不计分。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针对本项目提供有①售后服务体系、②售后服务人员安排、③售后服务响应时间与处理时间、④售后服务内容及方式。 1.售后服务共4项，供应商提供的方案内容完全满足采购需求，每项计3分，最高计12分； 2.提供的方案内容基本满足采购需求，每项计2分； 3.提供的方案内容不详尽或不完全适用于本项目每项计1分；未提供不计分。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供应商提供2022年1月1日至响应文件提交截止时间前类似项目业绩，以合同签订日期为准，提供合同复印件加盖公章，每提供一份计3分，此项共计9分；未提供不计分。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 统一按照下列公式计算：磋商报价得分=10×（磋商基准价/最后磋商报价）价格分计算：四舍五入，保留两位小数。满足落实政府采购相关政策的，用扣除后的价格参与评审。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响应文件（格式）</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