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版本号：GD-2025-01220251117001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郭杜校区操场塌陷维修项目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GD-2025-012</w:t>
      </w:r>
      <w:r>
        <w:br/>
      </w:r>
      <w:r>
        <w:br/>
      </w:r>
      <w:r>
        <w:br/>
      </w:r>
    </w:p>
    <w:p>
      <w:pPr>
        <w:pStyle w:val="null3"/>
        <w:jc w:val="center"/>
        <w:outlineLvl w:val="2"/>
      </w:pPr>
      <w:r>
        <w:rPr>
          <w:rFonts w:ascii="仿宋_GB2312" w:hAnsi="仿宋_GB2312" w:cs="仿宋_GB2312" w:eastAsia="仿宋_GB2312"/>
          <w:sz w:val="28"/>
          <w:b/>
        </w:rPr>
        <w:t>陕西开放大学</w:t>
      </w:r>
    </w:p>
    <w:p>
      <w:pPr>
        <w:pStyle w:val="null3"/>
        <w:jc w:val="center"/>
        <w:outlineLvl w:val="2"/>
      </w:pPr>
      <w:r>
        <w:rPr>
          <w:rFonts w:ascii="仿宋_GB2312" w:hAnsi="仿宋_GB2312" w:cs="仿宋_GB2312" w:eastAsia="仿宋_GB2312"/>
          <w:sz w:val="28"/>
          <w:b/>
        </w:rPr>
        <w:t>广达咨询有限公司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广达咨询有限公司</w:t>
      </w:r>
      <w:r>
        <w:rPr>
          <w:rFonts w:ascii="仿宋_GB2312" w:hAnsi="仿宋_GB2312" w:cs="仿宋_GB2312" w:eastAsia="仿宋_GB2312"/>
        </w:rPr>
        <w:t>（以下简称“代理机构”）受</w:t>
      </w:r>
      <w:r>
        <w:rPr>
          <w:rFonts w:ascii="仿宋_GB2312" w:hAnsi="仿宋_GB2312" w:cs="仿宋_GB2312" w:eastAsia="仿宋_GB2312"/>
        </w:rPr>
        <w:t>陕西开放大学</w:t>
      </w:r>
      <w:r>
        <w:rPr>
          <w:rFonts w:ascii="仿宋_GB2312" w:hAnsi="仿宋_GB2312" w:cs="仿宋_GB2312" w:eastAsia="仿宋_GB2312"/>
        </w:rPr>
        <w:t>委托，拟对</w:t>
      </w:r>
      <w:r>
        <w:rPr>
          <w:rFonts w:ascii="仿宋_GB2312" w:hAnsi="仿宋_GB2312" w:cs="仿宋_GB2312" w:eastAsia="仿宋_GB2312"/>
        </w:rPr>
        <w:t>郭杜校区操场塌陷维修项目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GD-2025-012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郭杜校区操场塌陷维修项目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郭杜校区操场塌陷维修项目，主要内容:郭杜校区操场地面由于连续降雨出现起翘、破损、下沉现象，不但影响师生体育锻炼，且存在安全隐患。经组织相关人员现场踏勘，测量塌陷面积为556.05㎡，按照常规现场观测的塌陷周围可能还存在不可见的坍塌，因此按照600㎡编制维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采购包1（郭杜校区操场塌陷维修项目）：属于专门面向中小企业采购。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2、供应商资质：供应商具备建筑工程施工总承包三级及以上资质或建筑装修装饰工程专业承包二级及以上资质，且具有合格有效的安全生产许可证；</w:t>
      </w:r>
    </w:p>
    <w:p>
      <w:pPr>
        <w:pStyle w:val="null3"/>
      </w:pPr>
      <w:r>
        <w:rPr>
          <w:rFonts w:ascii="仿宋_GB2312" w:hAnsi="仿宋_GB2312" w:cs="仿宋_GB2312" w:eastAsia="仿宋_GB2312"/>
        </w:rPr>
        <w:t>3、拟派项目负责人资质要求：项目经理需具备建筑工程专业二级及以上注册建造师资格证书和有效的安全生产考核合格B证注册任职在本单位，且无在建项目（提供合格证件及无在建项目承诺书）；</w:t>
      </w:r>
    </w:p>
    <w:p>
      <w:pPr>
        <w:pStyle w:val="null3"/>
      </w:pPr>
      <w:r>
        <w:rPr>
          <w:rFonts w:ascii="仿宋_GB2312" w:hAnsi="仿宋_GB2312" w:cs="仿宋_GB2312" w:eastAsia="仿宋_GB2312"/>
        </w:rPr>
        <w:t>4、供应商及项目经理信息查询：供应商及项目经理信息在“陕西省建筑市场监管与诚信信息发布平台”可查询到企业信息及项目经理信息，提供网页查询截图；</w:t>
      </w:r>
    </w:p>
    <w:p>
      <w:pPr>
        <w:pStyle w:val="null3"/>
      </w:pPr>
      <w:r>
        <w:rPr>
          <w:rFonts w:ascii="仿宋_GB2312" w:hAnsi="仿宋_GB2312" w:cs="仿宋_GB2312" w:eastAsia="仿宋_GB2312"/>
        </w:rPr>
        <w:t>5、法定代表人授权委托书：供应商应授权合法的人员参加磋商全过程，其中法定代表人直接参加磋商的，须提供法定代表人身份证，并与营业执照上信息一致。法定代表人授权代表参加磋商的，须提供法定代表人授权书及授权代表身份证；</w:t>
      </w:r>
    </w:p>
    <w:p>
      <w:pPr>
        <w:pStyle w:val="null3"/>
      </w:pPr>
      <w:r>
        <w:rPr>
          <w:rFonts w:ascii="仿宋_GB2312" w:hAnsi="仿宋_GB2312" w:cs="仿宋_GB2312" w:eastAsia="仿宋_GB2312"/>
        </w:rPr>
        <w:t>6、财务状况报告：提供 2024年度经第三方审计的财务报告，至少包括三表一注，即资产负债表、利润表、现金流量表及其附注 (成立时间至提交响应文件截止时间不足一年的可提供成立后任意时段的资产负债表) ；或其谈判响应文件递交截止时间前三个月内基本存款账户开户银行出具的资信证明及开户银行许可证 (或开户行出具的基本户证明材料)；或信用担保机构出具的投标担保函 (复印件或扫描件加盖申请）。(以上三种形式的资料提供任何一种即可)；</w:t>
      </w:r>
    </w:p>
    <w:p>
      <w:pPr>
        <w:pStyle w:val="null3"/>
      </w:pPr>
      <w:r>
        <w:rPr>
          <w:rFonts w:ascii="仿宋_GB2312" w:hAnsi="仿宋_GB2312" w:cs="仿宋_GB2312" w:eastAsia="仿宋_GB2312"/>
        </w:rPr>
        <w:t>7、社会保障资金缴纳证明：提供截止至响应文件递交截止时间前六个月内任一个月份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8、税收缴纳证明：提供截止至响应文件递交时间前六个月内任一个月份的纳税证明或完税证明，纳税证明或完税证明上应有代收机构或税务机关的公章或业务专用章。依法免税的供应商应提供相关文件证明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9、信用查询：供应商不得为“信用中国”网站(www.creditchina.gov.cn)中列入失信被执行人和重大税收违法失信主体，供应商通过“信用中国”网站“信用服务”-“失信被执行人”-跳转至“中国执行信息公开网”网站(或直接打开“中国执行信息公开网”点击失信被执行人)输入供应商名称查询企业)；不得被财政部门在中国政府采购网（www.ccgp.gov.cn）政府采购严重违法失信行为记录名单中禁止参加政府采购活动，提供网页截图。对列入失信行为、政府采购严重违法失信行为记录名单的供应商，拒绝参与本项目政府采购活动。</w:t>
      </w:r>
    </w:p>
    <w:p>
      <w:pPr>
        <w:pStyle w:val="null3"/>
      </w:pPr>
      <w:r>
        <w:rPr>
          <w:rFonts w:ascii="仿宋_GB2312" w:hAnsi="仿宋_GB2312" w:cs="仿宋_GB2312" w:eastAsia="仿宋_GB2312"/>
        </w:rPr>
        <w:t>10、具有履行本合同所必需的设备和专业技术能力：具有履行本合同所必需的设备和专业技术能力的书面声明</w:t>
      </w:r>
    </w:p>
    <w:p>
      <w:pPr>
        <w:pStyle w:val="null3"/>
      </w:pPr>
      <w:r>
        <w:rPr>
          <w:rFonts w:ascii="仿宋_GB2312" w:hAnsi="仿宋_GB2312" w:cs="仿宋_GB2312" w:eastAsia="仿宋_GB2312"/>
        </w:rPr>
        <w:t>11、本项目专门面向中小企业：本项目专门面向中小企业（提供中小企业声明函）</w:t>
      </w:r>
    </w:p>
    <w:p>
      <w:pPr>
        <w:pStyle w:val="null3"/>
      </w:pPr>
      <w:r>
        <w:rPr>
          <w:rFonts w:ascii="仿宋_GB2312" w:hAnsi="仿宋_GB2312" w:cs="仿宋_GB2312" w:eastAsia="仿宋_GB2312"/>
        </w:rPr>
        <w:t>12、本项目不接受联合体：本项目不接受联合体参与（供应商进行承诺或说明）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陕西开放大学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西安市长安区郭杜北街19号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710119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陕西开放大学经办张老师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029-81896974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广达咨询有限公司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陕西省西安市曲江新区旺座曲江K座1801室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刘亮芳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029-89866364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采购代理服务收费管理暂行办法》（计价格〔2002〕1980号）和国家发展和改革委员会办公厅颁发的《关于采购代理服务收费有关问题的通知》（发改办价格〔2003〕857号）的有关规定标准计取，不足6000元，按6000元收取。 供应商将招标代理服务费计入投标报价但不单独列明，中标单位在领取中标通知书前，须向采购代理机构一次性支付招标代理服务费；代理服务费以转账、电汇或现金等形式交纳。 代理费缴纳账号信息： 公司名称：广达咨询有限公司 开户行：中国建设银行西安雁翔广场支行账号：61050110669000000415</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陕西开放大学</w:t>
      </w:r>
      <w:r>
        <w:rPr>
          <w:rFonts w:ascii="仿宋_GB2312" w:hAnsi="仿宋_GB2312" w:cs="仿宋_GB2312" w:eastAsia="仿宋_GB2312"/>
        </w:rPr>
        <w:t>和</w:t>
      </w:r>
      <w:r>
        <w:rPr>
          <w:rFonts w:ascii="仿宋_GB2312" w:hAnsi="仿宋_GB2312" w:cs="仿宋_GB2312" w:eastAsia="仿宋_GB2312"/>
        </w:rPr>
        <w:t>广达咨询有限公司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陕西开放大学</w:t>
      </w:r>
      <w:r>
        <w:rPr>
          <w:rFonts w:ascii="仿宋_GB2312" w:hAnsi="仿宋_GB2312" w:cs="仿宋_GB2312" w:eastAsia="仿宋_GB2312"/>
        </w:rPr>
        <w:t>负责解释。除上述磋商文件内容，其他内容由</w:t>
      </w:r>
      <w:r>
        <w:rPr>
          <w:rFonts w:ascii="仿宋_GB2312" w:hAnsi="仿宋_GB2312" w:cs="仿宋_GB2312" w:eastAsia="仿宋_GB2312"/>
        </w:rPr>
        <w:t>广达咨询有限公司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陕西开放大学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广达咨询有限公司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按照合同约定执行，详见合同附件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广达咨询有限公司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广达咨询有限公司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广达咨询有限公司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联系人：广达咨询有限公司</w:t>
      </w:r>
    </w:p>
    <w:p>
      <w:pPr>
        <w:pStyle w:val="null3"/>
      </w:pPr>
      <w:r>
        <w:rPr>
          <w:rFonts w:ascii="仿宋_GB2312" w:hAnsi="仿宋_GB2312" w:cs="仿宋_GB2312" w:eastAsia="仿宋_GB2312"/>
        </w:rPr>
        <w:t>联系电话：029-89866364</w:t>
      </w:r>
    </w:p>
    <w:p>
      <w:pPr>
        <w:pStyle w:val="null3"/>
      </w:pPr>
      <w:r>
        <w:rPr>
          <w:rFonts w:ascii="仿宋_GB2312" w:hAnsi="仿宋_GB2312" w:cs="仿宋_GB2312" w:eastAsia="仿宋_GB2312"/>
        </w:rPr>
        <w:t>地址：陕西省西安市曲江新区旺座曲江K座1801室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330,000.00</w:t>
      </w:r>
    </w:p>
    <w:p>
      <w:pPr>
        <w:pStyle w:val="null3"/>
      </w:pPr>
      <w:r>
        <w:rPr>
          <w:rFonts w:ascii="仿宋_GB2312" w:hAnsi="仿宋_GB2312" w:cs="仿宋_GB2312" w:eastAsia="仿宋_GB2312"/>
        </w:rPr>
        <w:t>采购包最高限价（元）: 292,319.33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操场塌陷维修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330,000.00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标的名称：操场塌陷维修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4"/>
              </w:rPr>
              <w:t>郭杜校区操场塌陷维修项目方案</w:t>
            </w:r>
          </w:p>
          <w:p>
            <w:pPr>
              <w:pStyle w:val="null3"/>
              <w:ind w:firstLine="480"/>
              <w:jc w:val="both"/>
            </w:pPr>
            <w:r>
              <w:rPr>
                <w:rFonts w:ascii="仿宋_GB2312" w:hAnsi="仿宋_GB2312" w:cs="仿宋_GB2312" w:eastAsia="仿宋_GB2312"/>
                <w:sz w:val="24"/>
              </w:rPr>
              <w:t>日常巡查过程中，发现操场地面由于连续降雨出现起翘、破损、下沉现象，影响师生体育锻炼，且存在安全隐患。经组织相关人员现场踏勘，测量塌陷面积为</w:t>
            </w:r>
            <w:r>
              <w:rPr>
                <w:rFonts w:ascii="仿宋_GB2312" w:hAnsi="仿宋_GB2312" w:cs="仿宋_GB2312" w:eastAsia="仿宋_GB2312"/>
                <w:sz w:val="24"/>
              </w:rPr>
              <w:t>556.05㎡,按照常规现场观测的塌陷周围可能存在不可见的坍塌本方案按照 600㎡“维修方案编制。维修方案如下:</w:t>
            </w:r>
          </w:p>
          <w:p>
            <w:pPr>
              <w:pStyle w:val="null3"/>
              <w:ind w:firstLine="480"/>
              <w:jc w:val="both"/>
            </w:pPr>
            <w:r>
              <w:rPr>
                <w:rFonts w:ascii="仿宋_GB2312" w:hAnsi="仿宋_GB2312" w:cs="仿宋_GB2312" w:eastAsia="仿宋_GB2312"/>
                <w:sz w:val="24"/>
              </w:rPr>
              <w:t>一、维修方案</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1.破除原破损翘起混凝土和塑胶/硅 PU面层，厚度约0.2m，面积约600㎡；</w:t>
            </w:r>
          </w:p>
          <w:p>
            <w:pPr>
              <w:pStyle w:val="null3"/>
              <w:ind w:firstLine="480"/>
              <w:jc w:val="both"/>
            </w:pPr>
            <w:r>
              <w:rPr>
                <w:rFonts w:ascii="仿宋_GB2312" w:hAnsi="仿宋_GB2312" w:cs="仿宋_GB2312" w:eastAsia="仿宋_GB2312"/>
                <w:sz w:val="24"/>
              </w:rPr>
              <w:t>2.挖除原塌陷部位土方，平均挖除深度约0.6m，原土方挖除后翻晒，直至含水率应符合设计标准，挖土量约为360m³;</w:t>
            </w:r>
          </w:p>
          <w:p>
            <w:pPr>
              <w:pStyle w:val="null3"/>
              <w:ind w:firstLine="480"/>
              <w:jc w:val="both"/>
            </w:pPr>
            <w:r>
              <w:rPr>
                <w:rFonts w:ascii="仿宋_GB2312" w:hAnsi="仿宋_GB2312" w:cs="仿宋_GB2312" w:eastAsia="仿宋_GB2312"/>
                <w:sz w:val="24"/>
              </w:rPr>
              <w:t>3.回填夯实 300mm厚素土，回填量约为 180m³;回填夯实300mm 厚3:7灰土，回填量约为 180m³;土方回填后不足由校内内倒黄土回填，约60m³;</w:t>
            </w:r>
          </w:p>
          <w:p>
            <w:pPr>
              <w:pStyle w:val="null3"/>
              <w:ind w:firstLine="480"/>
              <w:jc w:val="both"/>
            </w:pPr>
            <w:r>
              <w:rPr>
                <w:rFonts w:ascii="仿宋_GB2312" w:hAnsi="仿宋_GB2312" w:cs="仿宋_GB2312" w:eastAsia="仿宋_GB2312"/>
                <w:sz w:val="24"/>
              </w:rPr>
              <w:t>4.浇筑C25混凝土随打随抹光，厚度0.2m，面积约为 600 ㎡;地面浇筑完成后，割缝，养护;</w:t>
            </w:r>
          </w:p>
          <w:p>
            <w:pPr>
              <w:pStyle w:val="null3"/>
              <w:ind w:firstLine="480"/>
              <w:jc w:val="both"/>
            </w:pPr>
            <w:r>
              <w:rPr>
                <w:rFonts w:ascii="仿宋_GB2312" w:hAnsi="仿宋_GB2312" w:cs="仿宋_GB2312" w:eastAsia="仿宋_GB2312"/>
                <w:sz w:val="24"/>
              </w:rPr>
              <w:t>5.地面修复部分采用颜色接近的环保地板漆涂刷两遍；</w:t>
            </w:r>
          </w:p>
          <w:p>
            <w:pPr>
              <w:pStyle w:val="null3"/>
              <w:ind w:firstLine="480"/>
              <w:jc w:val="both"/>
            </w:pPr>
            <w:r>
              <w:rPr>
                <w:rFonts w:ascii="仿宋_GB2312" w:hAnsi="仿宋_GB2312" w:cs="仿宋_GB2312" w:eastAsia="仿宋_GB2312"/>
                <w:sz w:val="24"/>
              </w:rPr>
              <w:t>6.垃圾清理及外运(含垃圾清理，运输，垃圾消纳，校内道路实时打扫清理，安全警戒防护标牌和警戒线、人员防护值守等，相关手续办理、扬尘治理措施等实施内容和全部费用)，垃圾外运量约为 180m³。</w:t>
            </w:r>
          </w:p>
          <w:p>
            <w:pPr>
              <w:pStyle w:val="null3"/>
              <w:jc w:val="both"/>
            </w:pPr>
            <w:r>
              <w:rPr>
                <w:rFonts w:ascii="仿宋_GB2312" w:hAnsi="仿宋_GB2312" w:cs="仿宋_GB2312" w:eastAsia="仿宋_GB2312"/>
                <w:sz w:val="24"/>
              </w:rPr>
              <w:t>具体内容详见附件工程量清单。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详见采购内容及要求。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1.成交供应商在领取成交通知书时须提供响应文件纸质版2份以作存档（系统导出打印版胶装即可，封面加盖鲜章）。若系统电子响应文件与纸质响应文件不一致的，以系统电子响应文件为准。 2.定标环节采购人有权对响应文件承诺响应的内容进行复核，如有虚假响应，一经发现，取消成交资格并上报财政主管部门，列入政府采购黑名单。 3.各供应商的磋商报价均不得高于本工程的最高限价，如高于或等于最高限价则视为不响应磋商文件要求。 4.付款要求：见合同文本。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资格审查内容.docx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资格审查内容.docx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资格审查内容.docx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 强制优先采购产品承诺函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资格审查内容.docx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供应商具备建筑工程施工总承包三级及以上资质或建筑装修装饰工程专业承包二级及以上资质，且具有合格有效的安全生产许可证；</w:t>
            </w:r>
          </w:p>
        </w:tc>
        <w:tc>
          <w:tcPr>
            <w:tcW w:type="dxa" w:w="1661"/>
          </w:tcPr>
          <w:p>
            <w:pPr>
              <w:pStyle w:val="null3"/>
            </w:pPr>
            <w:r>
              <w:rPr>
                <w:rFonts w:ascii="仿宋_GB2312" w:hAnsi="仿宋_GB2312" w:cs="仿宋_GB2312" w:eastAsia="仿宋_GB2312"/>
              </w:rPr>
              <w:t>资格审查内容.docx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拟派项目负责人资质要求</w:t>
            </w:r>
          </w:p>
        </w:tc>
        <w:tc>
          <w:tcPr>
            <w:tcW w:type="dxa" w:w="3322"/>
          </w:tcPr>
          <w:p>
            <w:pPr>
              <w:pStyle w:val="null3"/>
            </w:pPr>
            <w:r>
              <w:rPr>
                <w:rFonts w:ascii="仿宋_GB2312" w:hAnsi="仿宋_GB2312" w:cs="仿宋_GB2312" w:eastAsia="仿宋_GB2312"/>
              </w:rPr>
              <w:t>项目经理需具备建筑工程专业二级及以上注册建造师资格证书和有效的安全生产考核合格B证注册任职在本单位，且无在建项目（提供合格证件及无在建项目承诺书）；</w:t>
            </w:r>
          </w:p>
        </w:tc>
        <w:tc>
          <w:tcPr>
            <w:tcW w:type="dxa" w:w="1661"/>
          </w:tcPr>
          <w:p>
            <w:pPr>
              <w:pStyle w:val="null3"/>
            </w:pPr>
            <w:r>
              <w:rPr>
                <w:rFonts w:ascii="仿宋_GB2312" w:hAnsi="仿宋_GB2312" w:cs="仿宋_GB2312" w:eastAsia="仿宋_GB2312"/>
              </w:rPr>
              <w:t>资格审查内容.docx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供应商及项目经理信息查询</w:t>
            </w:r>
          </w:p>
        </w:tc>
        <w:tc>
          <w:tcPr>
            <w:tcW w:type="dxa" w:w="3322"/>
          </w:tcPr>
          <w:p>
            <w:pPr>
              <w:pStyle w:val="null3"/>
            </w:pPr>
            <w:r>
              <w:rPr>
                <w:rFonts w:ascii="仿宋_GB2312" w:hAnsi="仿宋_GB2312" w:cs="仿宋_GB2312" w:eastAsia="仿宋_GB2312"/>
              </w:rPr>
              <w:t>供应商及项目经理信息在“陕西省建筑市场监管与诚信信息发布平台”可查询到企业信息及项目经理信息，提供网页查询截图；</w:t>
            </w:r>
          </w:p>
        </w:tc>
        <w:tc>
          <w:tcPr>
            <w:tcW w:type="dxa" w:w="1661"/>
          </w:tcPr>
          <w:p>
            <w:pPr>
              <w:pStyle w:val="null3"/>
            </w:pPr>
            <w:r>
              <w:rPr>
                <w:rFonts w:ascii="仿宋_GB2312" w:hAnsi="仿宋_GB2312" w:cs="仿宋_GB2312" w:eastAsia="仿宋_GB2312"/>
              </w:rPr>
              <w:t>资格审查内容.docx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供应商应授权合法的人员参加磋商全过程，其中法定代表人直接参加磋商的，须提供法定代表人身份证，并与营业执照上信息一致。法定代表人授权代表参加磋商的，须提供法定代表人授权书及授权代表身份证；</w:t>
            </w:r>
          </w:p>
        </w:tc>
        <w:tc>
          <w:tcPr>
            <w:tcW w:type="dxa" w:w="1661"/>
          </w:tcPr>
          <w:p>
            <w:pPr>
              <w:pStyle w:val="null3"/>
            </w:pPr>
            <w:r>
              <w:rPr>
                <w:rFonts w:ascii="仿宋_GB2312" w:hAnsi="仿宋_GB2312" w:cs="仿宋_GB2312" w:eastAsia="仿宋_GB2312"/>
              </w:rPr>
              <w:t>资格审查内容.docx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 2024年度经第三方审计的财务报告，至少包括三表一注，即资产负债表、利润表、现金流量表及其附注 (成立时间至提交响应文件截止时间不足一年的可提供成立后任意时段的资产负债表) ；或其谈判响应文件递交截止时间前三个月内基本存款账户开户银行出具的资信证明及开户银行许可证 (或开户行出具的基本户证明材料)；或信用担保机构出具的投标担保函 (复印件或扫描件加盖申请）。(以上三种形式的资料提供任何一种即可)；</w:t>
            </w:r>
          </w:p>
        </w:tc>
        <w:tc>
          <w:tcPr>
            <w:tcW w:type="dxa" w:w="1661"/>
          </w:tcPr>
          <w:p>
            <w:pPr>
              <w:pStyle w:val="null3"/>
            </w:pPr>
            <w:r>
              <w:rPr>
                <w:rFonts w:ascii="仿宋_GB2312" w:hAnsi="仿宋_GB2312" w:cs="仿宋_GB2312" w:eastAsia="仿宋_GB2312"/>
              </w:rPr>
              <w:t>资格审查内容.docx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提供截止至响应文件递交截止时间前六个月内任一个月份的社会保障资金缴存单据或社保机构开具的社会保险参保缴费情况证明，依法不需要缴纳社会保障资金的单位应提供相关证明材料。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资格审查内容.docx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提供截止至响应文件递交时间前六个月内任一个月份的纳税证明或完税证明，纳税证明或完税证明上应有代收机构或税务机关的公章或业务专用章。依法免税的供应商应提供相关文件证明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资格审查内容.docx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供应商通过“信用中国”网站“信用服务”-“失信被执行人”-跳转至“中国执行信息公开网”网站(或直接打开“中国执行信息公开网”点击失信被执行人)输入供应商名称查询企业)；不得被财政部门在中国政府采购网（www.ccgp.gov.cn）政府采购严重违法失信行为记录名单中禁止参加政府采购活动，提供网页截图。对列入失信行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资格审查内容.docx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具有履行本合同所必需的设备和专业技术能力的书面声明</w:t>
            </w:r>
          </w:p>
        </w:tc>
        <w:tc>
          <w:tcPr>
            <w:tcW w:type="dxa" w:w="1661"/>
          </w:tcPr>
          <w:p>
            <w:pPr>
              <w:pStyle w:val="null3"/>
            </w:pPr>
            <w:r>
              <w:rPr>
                <w:rFonts w:ascii="仿宋_GB2312" w:hAnsi="仿宋_GB2312" w:cs="仿宋_GB2312" w:eastAsia="仿宋_GB2312"/>
              </w:rPr>
              <w:t>资格审查内容.docx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本项目专门面向中小企业</w:t>
            </w:r>
          </w:p>
        </w:tc>
        <w:tc>
          <w:tcPr>
            <w:tcW w:type="dxa" w:w="3322"/>
          </w:tcPr>
          <w:p>
            <w:pPr>
              <w:pStyle w:val="null3"/>
            </w:pPr>
            <w:r>
              <w:rPr>
                <w:rFonts w:ascii="仿宋_GB2312" w:hAnsi="仿宋_GB2312" w:cs="仿宋_GB2312" w:eastAsia="仿宋_GB2312"/>
              </w:rPr>
              <w:t>本项目专门面向中小企业（提供中小企业声明函）</w:t>
            </w:r>
          </w:p>
        </w:tc>
        <w:tc>
          <w:tcPr>
            <w:tcW w:type="dxa" w:w="1661"/>
          </w:tcPr>
          <w:p>
            <w:pPr>
              <w:pStyle w:val="null3"/>
            </w:pPr>
            <w:r>
              <w:rPr>
                <w:rFonts w:ascii="仿宋_GB2312" w:hAnsi="仿宋_GB2312" w:cs="仿宋_GB2312" w:eastAsia="仿宋_GB2312"/>
              </w:rPr>
              <w:t>资格审查内容.docx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w:t>
            </w:r>
          </w:p>
        </w:tc>
        <w:tc>
          <w:tcPr>
            <w:tcW w:type="dxa" w:w="3322"/>
          </w:tcPr>
          <w:p>
            <w:pPr>
              <w:pStyle w:val="null3"/>
            </w:pPr>
            <w:r>
              <w:rPr>
                <w:rFonts w:ascii="仿宋_GB2312" w:hAnsi="仿宋_GB2312" w:cs="仿宋_GB2312" w:eastAsia="仿宋_GB2312"/>
              </w:rPr>
              <w:t>本项目不接受联合体参与（供应商进行承诺或说明）</w:t>
            </w:r>
          </w:p>
        </w:tc>
        <w:tc>
          <w:tcPr>
            <w:tcW w:type="dxa" w:w="1661"/>
          </w:tcPr>
          <w:p>
            <w:pPr>
              <w:pStyle w:val="null3"/>
            </w:pPr>
            <w:r>
              <w:rPr>
                <w:rFonts w:ascii="仿宋_GB2312" w:hAnsi="仿宋_GB2312" w:cs="仿宋_GB2312" w:eastAsia="仿宋_GB2312"/>
              </w:rPr>
              <w:t>资格审查内容.docx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30日历天</w:t>
            </w:r>
          </w:p>
        </w:tc>
        <w:tc>
          <w:tcPr>
            <w:tcW w:type="dxa" w:w="1661"/>
          </w:tcPr>
          <w:p>
            <w:pPr>
              <w:pStyle w:val="null3"/>
            </w:pPr>
            <w:r>
              <w:rPr>
                <w:rFonts w:ascii="仿宋_GB2312" w:hAnsi="仿宋_GB2312" w:cs="仿宋_GB2312" w:eastAsia="仿宋_GB2312"/>
              </w:rPr>
              <w:t>响应文件封面 标的清单 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2年</w:t>
            </w:r>
          </w:p>
        </w:tc>
        <w:tc>
          <w:tcPr>
            <w:tcW w:type="dxa" w:w="1661"/>
          </w:tcPr>
          <w:p>
            <w:pPr>
              <w:pStyle w:val="null3"/>
            </w:pPr>
            <w:r>
              <w:rPr>
                <w:rFonts w:ascii="仿宋_GB2312" w:hAnsi="仿宋_GB2312" w:cs="仿宋_GB2312" w:eastAsia="仿宋_GB2312"/>
              </w:rPr>
              <w:t>响应文件封面 标的清单 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达到国家现行施工验收规范“合格”标准</w:t>
            </w:r>
          </w:p>
        </w:tc>
        <w:tc>
          <w:tcPr>
            <w:tcW w:type="dxa" w:w="1661"/>
          </w:tcPr>
          <w:p>
            <w:pPr>
              <w:pStyle w:val="null3"/>
            </w:pPr>
            <w:r>
              <w:rPr>
                <w:rFonts w:ascii="仿宋_GB2312" w:hAnsi="仿宋_GB2312" w:cs="仿宋_GB2312" w:eastAsia="仿宋_GB2312"/>
              </w:rPr>
              <w:t>响应文件封面 标的清单 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响应文件封面 标的清单 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技术负责人</w:t>
            </w:r>
          </w:p>
        </w:tc>
        <w:tc>
          <w:tcPr>
            <w:tcW w:type="dxa" w:w="3322"/>
          </w:tcPr>
          <w:p>
            <w:pPr>
              <w:pStyle w:val="null3"/>
            </w:pPr>
            <w:r>
              <w:rPr>
                <w:rFonts w:ascii="仿宋_GB2312" w:hAnsi="仿宋_GB2312" w:cs="仿宋_GB2312" w:eastAsia="仿宋_GB2312"/>
              </w:rPr>
              <w:t>拟派技术负责人无其它在建工程的证明。</w:t>
            </w:r>
          </w:p>
        </w:tc>
        <w:tc>
          <w:tcPr>
            <w:tcW w:type="dxa" w:w="1661"/>
          </w:tcPr>
          <w:p>
            <w:pPr>
              <w:pStyle w:val="null3"/>
            </w:pPr>
            <w:r>
              <w:rPr>
                <w:rFonts w:ascii="仿宋_GB2312" w:hAnsi="仿宋_GB2312" w:cs="仿宋_GB2312" w:eastAsia="仿宋_GB2312"/>
              </w:rPr>
              <w:t>响应文件封面 标的清单 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供应商有法律、规章、规范性文件和采购文件规定的其他无效情形，按无效响应处理。</w:t>
            </w:r>
          </w:p>
        </w:tc>
        <w:tc>
          <w:tcPr>
            <w:tcW w:type="dxa" w:w="1661"/>
          </w:tcPr>
          <w:p>
            <w:pPr>
              <w:pStyle w:val="null3"/>
            </w:pPr>
            <w:r>
              <w:rPr>
                <w:rFonts w:ascii="仿宋_GB2312" w:hAnsi="仿宋_GB2312" w:cs="仿宋_GB2312" w:eastAsia="仿宋_GB2312"/>
              </w:rPr>
              <w:t>响应文件封面 标的清单 报价表.docx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项目实施方案（10分） 实施方案完整详细、有针对性，完全满足项目实施，具有优化建议的得(7-10]分； 实施方案完整，可行，能满足项目实施的全部要求的得(4-7]分； 实施方案非专门针对本项目，存在少量逻辑漏洞或前后内容不一致的得(2-4]分； 实施方案有较大缺陷，或完全套用其他项目且内容较少的得(0-2]分;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方案.docx</w:t>
            </w:r>
          </w:p>
        </w:tc>
      </w:tr>
      <w:tr>
        <w:tc>
          <w:tcPr>
            <w:tcW w:type="dxa" w:w="831"/>
            <w:vMerge/>
          </w:tcPr>
          <w:p/>
        </w:tc>
        <w:tc>
          <w:tcPr>
            <w:tcW w:type="dxa" w:w="1661"/>
          </w:tcPr>
          <w:p>
            <w:pPr>
              <w:pStyle w:val="null3"/>
            </w:pPr>
            <w:r>
              <w:rPr>
                <w:rFonts w:ascii="仿宋_GB2312" w:hAnsi="仿宋_GB2312" w:cs="仿宋_GB2312" w:eastAsia="仿宋_GB2312"/>
              </w:rPr>
              <w:t>安全作业管理</w:t>
            </w:r>
          </w:p>
        </w:tc>
        <w:tc>
          <w:tcPr>
            <w:tcW w:type="dxa" w:w="2492"/>
          </w:tcPr>
          <w:p>
            <w:pPr>
              <w:pStyle w:val="null3"/>
            </w:pPr>
            <w:r>
              <w:rPr>
                <w:rFonts w:ascii="仿宋_GB2312" w:hAnsi="仿宋_GB2312" w:cs="仿宋_GB2312" w:eastAsia="仿宋_GB2312"/>
              </w:rPr>
              <w:t>安全作业管理（10分）针对本项目提供具体的安全作业方案及安全配套措施进行综合评审。 提供具体详细、有针对性的安全作业方案及安全配套措施，完全符合采购人安全作业要求且具有优化建议的，得(7-10]分； 提供安全作业方案及安全配套措施，符合采购人安全作业的要求，得(4-7]分； 提供的安全作业方案及安全配套措施非专门针对本项目，套用其他项目内容，存在少量逻辑漏洞或前后内容不一致的得(2-4]分； 提供的安全作业方案及安全配套措施简陋，存在影响采购人安全作业要求实现的，得(0-2]分。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方案.docx</w:t>
            </w:r>
          </w:p>
        </w:tc>
      </w:tr>
      <w:tr>
        <w:tc>
          <w:tcPr>
            <w:tcW w:type="dxa" w:w="831"/>
            <w:vMerge/>
          </w:tcPr>
          <w:p/>
        </w:tc>
        <w:tc>
          <w:tcPr>
            <w:tcW w:type="dxa" w:w="1661"/>
          </w:tcPr>
          <w:p>
            <w:pPr>
              <w:pStyle w:val="null3"/>
            </w:pPr>
            <w:r>
              <w:rPr>
                <w:rFonts w:ascii="仿宋_GB2312" w:hAnsi="仿宋_GB2312" w:cs="仿宋_GB2312" w:eastAsia="仿宋_GB2312"/>
              </w:rPr>
              <w:t>文明施工措施计划</w:t>
            </w:r>
          </w:p>
        </w:tc>
        <w:tc>
          <w:tcPr>
            <w:tcW w:type="dxa" w:w="2492"/>
          </w:tcPr>
          <w:p>
            <w:pPr>
              <w:pStyle w:val="null3"/>
            </w:pPr>
            <w:r>
              <w:rPr>
                <w:rFonts w:ascii="仿宋_GB2312" w:hAnsi="仿宋_GB2312" w:cs="仿宋_GB2312" w:eastAsia="仿宋_GB2312"/>
              </w:rPr>
              <w:t>文明施工措施计划（10分） 针对本项目提供的文明施工措施计划进行综合评审。 措施计划详细齐全、合理且切实可行，完全满足采购人需求，具有优化建议的得(7-10]分； 措施计划齐全、合理、切实可行，满足采购人需求得(4-7]分； 措施计划非专门针对本项目，存在少量逻辑漏洞或前后内容不一致的得(2-4]分； 措施计划有较大缺陷，或完全套用其他项目且内容较少的得(0-2]分；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方案.docx</w:t>
            </w:r>
          </w:p>
        </w:tc>
      </w:tr>
      <w:tr>
        <w:tc>
          <w:tcPr>
            <w:tcW w:type="dxa" w:w="831"/>
            <w:vMerge/>
          </w:tcPr>
          <w:p/>
        </w:tc>
        <w:tc>
          <w:tcPr>
            <w:tcW w:type="dxa" w:w="1661"/>
          </w:tcPr>
          <w:p>
            <w:pPr>
              <w:pStyle w:val="null3"/>
            </w:pPr>
            <w:r>
              <w:rPr>
                <w:rFonts w:ascii="仿宋_GB2312" w:hAnsi="仿宋_GB2312" w:cs="仿宋_GB2312" w:eastAsia="仿宋_GB2312"/>
              </w:rPr>
              <w:t>技术组织措施</w:t>
            </w:r>
          </w:p>
        </w:tc>
        <w:tc>
          <w:tcPr>
            <w:tcW w:type="dxa" w:w="2492"/>
          </w:tcPr>
          <w:p>
            <w:pPr>
              <w:pStyle w:val="null3"/>
            </w:pPr>
            <w:r>
              <w:rPr>
                <w:rFonts w:ascii="仿宋_GB2312" w:hAnsi="仿宋_GB2312" w:cs="仿宋_GB2312" w:eastAsia="仿宋_GB2312"/>
              </w:rPr>
              <w:t>技术组织措施（10分） 根据供应商制定的确保工程质量及工期的技术组织措施进行综合评审。 措施计划详细齐全、合理且切实可行，完全满足采购人需求，具有优化建议的得(7-10]分； 措施计划齐全、合理、切实可行，满足采购人需求得(4-7]分； 措施计划非专门针对本项目，存在少量逻辑漏洞或前后内容不一致的得(2-4]分； 措施计划有较大缺陷，或完全套用其他项目且内容较少的得(0-2]分；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方案.docx</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拟派项目部人员配备，除拟派项目经理及拟派项目技术负责人以外，至少应包括：施工员2人、资料员1人、材料员1人、安全员1人、质量员1人。 满足以上全部要求的得6分，每少一人扣1分，扣完为止；（评审依据：提供人员社保、身份证和相应专业证书或注册证书，其中安全员必须提供安全员C证，评审时以供应商提供加盖公章的证书复印件为准，未提供以上资料的相应人员不予认定和赋分。） 在满足上述基本人员配备的基础上每增加1位专业管理人员的加2分，最多加4分；（评审依据：提供人员社保、身份证和相应专业职称证书或注册证书，其中安全员必须提供安全员C证，评审时以供应商提供加盖公章的证书复印件为准，未提供以上资料的相应人员不予认定和赋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施工机械配备和材料投入计划（10分） 根据供应商投入的施工机械配备和材料投入计划等进行评审。 施工机械配备合理并提供设备来源证明材料，证明材料齐全且投入材料环保性优于国家标准的得(7-10]分； 施工机械配备合理和材料环保性较好，提供了设备来源证明材料的得(4-7]分； 施工机械配备和材料投入计划基本合理、可行，但未提供其他证明材料的得(2-4]分； 施工机械配备和材料投入计划较差，影响本项目实施的得(0-2]分；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方案.docx</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劳动力安排计划及劳务分包情况表（5分） 供应商就本项目劳动力安排计划及劳务分包情况表，根据合理、可行程度进行评审。 劳动力安排计划及劳务分包完整、合理、可行，有利于本项目实施的得5分； 劳动力安排计划及劳务分包合理、可行的，基本能满足项目实施的得3分； 劳动力安排计划及劳务分包可行性较差，存在缺陷的得2分；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供应商2022年1月至截标时间前同类施工项目业绩；每提供1份计1分，最高得5分。（提供加盖公章复印件，业绩时间以合同签订时间为准）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磋商文件，其最终报价为有效报价。本项目专门面向中小企业采购，根据财政部发布《政府采购促进中小企业发展政策问答》的规定，专门面向中小企业采购的项目或者采购包，不再执行价格评审优惠的扶持政策。 有效最低报价为基准价得30分。 按（磋商基准价/有效最终磋商报价）×30的公式计算报价得分。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报价表.docx</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详见附件：资格审查内容.docx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详见附件：方案.docx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详见附件：强制优先采购产品承诺函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详见附件：本合同仅供参考.docx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