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版本号：SXZY-25002520251127002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四季厅采光顶改造项目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SXZY-250025</w:t>
      </w:r>
      <w:r>
        <w:br/>
      </w:r>
      <w:r>
        <w:br/>
      </w:r>
      <w:r>
        <w:br/>
      </w:r>
    </w:p>
    <w:p>
      <w:pPr>
        <w:pStyle w:val="null3"/>
        <w:jc w:val="center"/>
        <w:outlineLvl w:val="2"/>
      </w:pPr>
      <w:r>
        <w:rPr>
          <w:rFonts w:ascii="仿宋_GB2312" w:hAnsi="仿宋_GB2312" w:cs="仿宋_GB2312" w:eastAsia="仿宋_GB2312"/>
          <w:sz w:val="28"/>
          <w:b/>
        </w:rPr>
        <w:t>陕西艺术幼儿园</w:t>
      </w:r>
    </w:p>
    <w:p>
      <w:pPr>
        <w:pStyle w:val="null3"/>
        <w:jc w:val="center"/>
        <w:outlineLvl w:val="2"/>
      </w:pPr>
      <w:r>
        <w:rPr>
          <w:rFonts w:ascii="仿宋_GB2312" w:hAnsi="仿宋_GB2312" w:cs="仿宋_GB2312" w:eastAsia="仿宋_GB2312"/>
          <w:sz w:val="28"/>
          <w:b/>
        </w:rPr>
        <w:t>陕西卓越工程项目管理有限公司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陕西卓越工程项目管理有限公司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陕西艺术幼儿园</w:t>
      </w:r>
      <w:r>
        <w:rPr>
          <w:rFonts w:ascii="仿宋_GB2312" w:hAnsi="仿宋_GB2312" w:cs="仿宋_GB2312" w:eastAsia="仿宋_GB2312"/>
        </w:rPr>
        <w:t>委托，拟对</w:t>
      </w:r>
      <w:r>
        <w:rPr>
          <w:rFonts w:ascii="仿宋_GB2312" w:hAnsi="仿宋_GB2312" w:cs="仿宋_GB2312" w:eastAsia="仿宋_GB2312"/>
        </w:rPr>
        <w:t>四季厅采光顶改造项目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SXZY-250025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四季厅采光顶改造项目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为消除安全隐患，保证幼儿在园安全，同时改善学习生活环境，对园内四季厅采光顶进行改造。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采购包1（四季厅采光顶改造项目）：属于专门面向小微企业采购。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1、供应商专业要求 ：供应商具备建筑装修装饰工程专业承包二级及以上资质且具有有效的安全生产许可证。</w:t>
      </w:r>
    </w:p>
    <w:p>
      <w:pPr>
        <w:pStyle w:val="null3"/>
      </w:pPr>
      <w:r>
        <w:rPr>
          <w:rFonts w:ascii="仿宋_GB2312" w:hAnsi="仿宋_GB2312" w:cs="仿宋_GB2312" w:eastAsia="仿宋_GB2312"/>
        </w:rPr>
        <w:t>2、拟派项目经理资质和专业要求：拟派项目经理具备建筑工程专业二级及以上注册建造师执业资格及安全生产考核合格证（安全B证），且未担任其它在建工程的项目经理。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陕西艺术幼儿园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莲湖区西甜水井街1号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陕西艺术幼儿园经办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68936724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陕西卓越工程项目管理有限公司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陕西省西安市雁塔区西安市高新区丈八街办高新路88号尚品国际A幢21704室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18909232629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部分建材</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部分建材</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参照《国家计委关于印发&lt;招标代理服务收费管理暂行办法&gt;的通知》（计价格〔2002〕1980号）；国家发展改革委2011年下发的文件《调整后的招标代理服务收费标准》(发改价格〔2011〕〕534号)规定标准收取。 2、中标供应商人应在领取成交通知书的同时，以转账方式向陕西卓越工程项目管理有限公司交纳本项目代理服务费。 户 名：陕西卓越工程项目管理有限公司 开户银行：招商银行西安钟楼支行 账号：129908404810601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陕西艺术幼儿园</w:t>
      </w:r>
      <w:r>
        <w:rPr>
          <w:rFonts w:ascii="仿宋_GB2312" w:hAnsi="仿宋_GB2312" w:cs="仿宋_GB2312" w:eastAsia="仿宋_GB2312"/>
        </w:rPr>
        <w:t>和</w:t>
      </w:r>
      <w:r>
        <w:rPr>
          <w:rFonts w:ascii="仿宋_GB2312" w:hAnsi="仿宋_GB2312" w:cs="仿宋_GB2312" w:eastAsia="仿宋_GB2312"/>
        </w:rPr>
        <w:t>陕西卓越工程项目管理有限公司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陕西艺术幼儿园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陕西卓越工程项目管理有限公司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陕西艺术幼儿园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陕西卓越工程项目管理有限公司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联系人：杨爱莉</w:t>
      </w:r>
    </w:p>
    <w:p>
      <w:pPr>
        <w:pStyle w:val="null3"/>
      </w:pPr>
      <w:r>
        <w:rPr>
          <w:rFonts w:ascii="仿宋_GB2312" w:hAnsi="仿宋_GB2312" w:cs="仿宋_GB2312" w:eastAsia="仿宋_GB2312"/>
        </w:rPr>
        <w:t>联系电话：18309218666</w:t>
      </w:r>
    </w:p>
    <w:p>
      <w:pPr>
        <w:pStyle w:val="null3"/>
      </w:pPr>
      <w:r>
        <w:rPr>
          <w:rFonts w:ascii="仿宋_GB2312" w:hAnsi="仿宋_GB2312" w:cs="仿宋_GB2312" w:eastAsia="仿宋_GB2312"/>
        </w:rPr>
        <w:t>地址：西安市高新区丈八街办高新路88号尚品国际A幢21704室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1,115,000.00</w:t>
      </w:r>
    </w:p>
    <w:p>
      <w:pPr>
        <w:pStyle w:val="null3"/>
      </w:pPr>
      <w:r>
        <w:rPr>
          <w:rFonts w:ascii="仿宋_GB2312" w:hAnsi="仿宋_GB2312" w:cs="仿宋_GB2312" w:eastAsia="仿宋_GB2312"/>
        </w:rPr>
        <w:t>采购包最高限价（元）: 1,115,000.00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四季厅采光顶改造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1,115,000.00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标的名称：四季厅采光顶改造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原采光顶拆除。</w:t>
            </w:r>
            <w:r>
              <w:rPr>
                <w:rFonts w:ascii="仿宋_GB2312" w:hAnsi="仿宋_GB2312" w:cs="仿宋_GB2312" w:eastAsia="仿宋_GB2312"/>
                <w:sz w:val="28"/>
              </w:rPr>
              <w:t>1.拆除内容：钢结构拆除、阳光板拆除、女儿墙护栏、南北侧塑钢窗拆除；</w:t>
            </w:r>
            <w:r>
              <w:rPr>
                <w:rFonts w:ascii="仿宋_GB2312" w:hAnsi="仿宋_GB2312" w:cs="仿宋_GB2312" w:eastAsia="仿宋_GB2312"/>
                <w:sz w:val="28"/>
              </w:rPr>
              <w:t>2.人工搬运。</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8"/>
                <w:b/>
              </w:rPr>
              <w:t>钢结构基座处理。</w:t>
            </w:r>
            <w:r>
              <w:rPr>
                <w:rFonts w:ascii="仿宋_GB2312" w:hAnsi="仿宋_GB2312" w:cs="仿宋_GB2312" w:eastAsia="仿宋_GB2312"/>
                <w:sz w:val="28"/>
              </w:rPr>
              <w:t>1.结构基座，混凝土圈梁、柱拆除平整至标高；</w:t>
            </w:r>
            <w:r>
              <w:rPr>
                <w:rFonts w:ascii="仿宋_GB2312" w:hAnsi="仿宋_GB2312" w:cs="仿宋_GB2312" w:eastAsia="仿宋_GB2312"/>
                <w:sz w:val="28"/>
              </w:rPr>
              <w:t>2.拆除后修补平整。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8"/>
                <w:b/>
              </w:rPr>
              <w:t>钢屋架及钢柱制作安装。</w:t>
            </w:r>
            <w:r>
              <w:rPr>
                <w:rFonts w:ascii="仿宋_GB2312" w:hAnsi="仿宋_GB2312" w:cs="仿宋_GB2312" w:eastAsia="仿宋_GB2312"/>
                <w:sz w:val="28"/>
              </w:rPr>
              <w:t>1.钢屋架及钢柱钢材重量18.914t，刷漆，做法详见清单。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8"/>
                <w:b/>
              </w:rPr>
              <w:t>断桥隔热铝合金窗（电动遥控开启）带钢纱窗。</w:t>
            </w:r>
            <w:r>
              <w:rPr>
                <w:rFonts w:ascii="仿宋_GB2312" w:hAnsi="仿宋_GB2312" w:cs="仿宋_GB2312" w:eastAsia="仿宋_GB2312"/>
                <w:sz w:val="28"/>
              </w:rPr>
              <w:t>1.窗类型:断桥隔热铝合金窗（电动遥控开启）带钢纱窗，11樘；</w:t>
            </w:r>
            <w:r>
              <w:rPr>
                <w:rFonts w:ascii="仿宋_GB2312" w:hAnsi="仿宋_GB2312" w:cs="仿宋_GB2312" w:eastAsia="仿宋_GB2312"/>
                <w:sz w:val="28"/>
              </w:rPr>
              <w:t>2.尺寸:1500*950mm/樘。</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8"/>
                <w:b/>
              </w:rPr>
              <w:t>断桥隔热铝合金固定窗。</w:t>
            </w:r>
            <w:r>
              <w:rPr>
                <w:rFonts w:ascii="仿宋_GB2312" w:hAnsi="仿宋_GB2312" w:cs="仿宋_GB2312" w:eastAsia="仿宋_GB2312"/>
                <w:sz w:val="28"/>
              </w:rPr>
              <w:t>1.窗类型:断桥隔热铝合金固定窗，23樘；</w:t>
            </w:r>
            <w:r>
              <w:rPr>
                <w:rFonts w:ascii="仿宋_GB2312" w:hAnsi="仿宋_GB2312" w:cs="仿宋_GB2312" w:eastAsia="仿宋_GB2312"/>
                <w:sz w:val="28"/>
              </w:rPr>
              <w:t>2.尺寸:1500*950mm/樘*22樘；900*950mm/樘*1樘。</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8"/>
                <w:b/>
              </w:rPr>
              <w:t>铝单板饰面板。</w:t>
            </w:r>
            <w:r>
              <w:rPr>
                <w:rFonts w:ascii="仿宋_GB2312" w:hAnsi="仿宋_GB2312" w:cs="仿宋_GB2312" w:eastAsia="仿宋_GB2312"/>
                <w:sz w:val="28"/>
              </w:rPr>
              <w:t>1.山墙外侧及檐口饰面，面积81.1㎡，做法详见清单。</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8"/>
                <w:b/>
              </w:rPr>
              <w:t>竹炭共挤板饰面板。</w:t>
            </w:r>
            <w:r>
              <w:rPr>
                <w:rFonts w:ascii="仿宋_GB2312" w:hAnsi="仿宋_GB2312" w:cs="仿宋_GB2312" w:eastAsia="仿宋_GB2312"/>
                <w:sz w:val="28"/>
              </w:rPr>
              <w:t>1.山墙内侧饰面，面积29.28㎡，做法详见清单。</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8"/>
                <w:b/>
              </w:rPr>
              <w:t>电动遮阳帘。</w:t>
            </w:r>
            <w:r>
              <w:rPr>
                <w:rFonts w:ascii="仿宋_GB2312" w:hAnsi="仿宋_GB2312" w:cs="仿宋_GB2312" w:eastAsia="仿宋_GB2312"/>
                <w:sz w:val="28"/>
              </w:rPr>
              <w:t>1.电动遮阳帘包括：遮阳帘、铝合金轨道、电机装置、智能控制设备；</w:t>
            </w:r>
            <w:r>
              <w:rPr>
                <w:rFonts w:ascii="仿宋_GB2312" w:hAnsi="仿宋_GB2312" w:cs="仿宋_GB2312" w:eastAsia="仿宋_GB2312"/>
                <w:sz w:val="28"/>
              </w:rPr>
              <w:t>2.面积237.97㎡。</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8"/>
                <w:b/>
              </w:rPr>
              <w:t>其他。</w:t>
            </w:r>
            <w:r>
              <w:rPr>
                <w:rFonts w:ascii="仿宋_GB2312" w:hAnsi="仿宋_GB2312" w:cs="仿宋_GB2312" w:eastAsia="仿宋_GB2312"/>
                <w:sz w:val="28"/>
              </w:rPr>
              <w:t>1.通风机，详见清单。</w:t>
            </w:r>
            <w:r>
              <w:rPr>
                <w:rFonts w:ascii="仿宋_GB2312" w:hAnsi="仿宋_GB2312" w:cs="仿宋_GB2312" w:eastAsia="仿宋_GB2312"/>
                <w:sz w:val="28"/>
              </w:rPr>
              <w:t>2.零星管线工程，详见清单。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1、工期：2026年1月26日日—2月14日，共20天 2、保修期：验收合格后1年。 3、结算方式 （1）合同签定后预付款，达到付款条件起7日内，支付合同总金额的30.00%。 （2）、付工程材料款，达到付款条件起7日内，支付合同总金额的55.00%。 （3）验收合格后付工程款 ，达到付款条件起7日内，支付合同总金额的12.00%。 （4）使用一年后无质量问题付合同尾款，达到付款条件起7日内，支付合同总金额的3.00%。 4、本项目最高限价为1110824.02元。供应商报价不得高于此价格，否则视为无效报价。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法人主体证明</w:t>
            </w:r>
          </w:p>
        </w:tc>
        <w:tc>
          <w:tcPr>
            <w:tcW w:type="dxa" w:w="3322"/>
          </w:tcPr>
          <w:p>
            <w:pPr>
              <w:pStyle w:val="null3"/>
            </w:pPr>
            <w:r>
              <w:rPr>
                <w:rFonts w:ascii="仿宋_GB2312" w:hAnsi="仿宋_GB2312" w:cs="仿宋_GB2312" w:eastAsia="仿宋_GB2312"/>
              </w:rPr>
              <w:t>供应商应为具有独立承担民事责任能力的法人或其他组织，提供法人或者其他组织的营业执照等证明文件(分公司响应须附总公司授权)；自然人参与项目的，需提供自然人的身份证明。</w:t>
            </w:r>
          </w:p>
        </w:tc>
        <w:tc>
          <w:tcPr>
            <w:tcW w:type="dxa" w:w="1661"/>
          </w:tcPr>
          <w:p>
            <w:pPr>
              <w:pStyle w:val="null3"/>
            </w:pPr>
            <w:r>
              <w:rPr>
                <w:rFonts w:ascii="仿宋_GB2312" w:hAnsi="仿宋_GB2312" w:cs="仿宋_GB2312" w:eastAsia="仿宋_GB2312"/>
              </w:rPr>
              <w:t>一般资格证明文件.docx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提供2024年11月至今任意一个月的纳税证明或税务机关开具的完税证明，依法免税的单位应提供相关证明材料。</w:t>
            </w:r>
          </w:p>
        </w:tc>
        <w:tc>
          <w:tcPr>
            <w:tcW w:type="dxa" w:w="1661"/>
          </w:tcPr>
          <w:p>
            <w:pPr>
              <w:pStyle w:val="null3"/>
            </w:pPr>
            <w:r>
              <w:rPr>
                <w:rFonts w:ascii="仿宋_GB2312" w:hAnsi="仿宋_GB2312" w:cs="仿宋_GB2312" w:eastAsia="仿宋_GB2312"/>
              </w:rPr>
              <w:t>一般资格证明文件.docx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提供2024年11月至今任意一个月已缴存的社会保障资金缴存单据或社保机构开具的社会保险参保缴费证明，依法不需要缴纳社会保障资金的单位应提供相关证明材料。</w:t>
            </w:r>
          </w:p>
        </w:tc>
        <w:tc>
          <w:tcPr>
            <w:tcW w:type="dxa" w:w="1661"/>
          </w:tcPr>
          <w:p>
            <w:pPr>
              <w:pStyle w:val="null3"/>
            </w:pPr>
            <w:r>
              <w:rPr>
                <w:rFonts w:ascii="仿宋_GB2312" w:hAnsi="仿宋_GB2312" w:cs="仿宋_GB2312" w:eastAsia="仿宋_GB2312"/>
              </w:rPr>
              <w:t>一般资格证明文件.docx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具有履行合同所必需的设备和专业技术能力，提供书面声明。</w:t>
            </w:r>
          </w:p>
        </w:tc>
        <w:tc>
          <w:tcPr>
            <w:tcW w:type="dxa" w:w="1661"/>
          </w:tcPr>
          <w:p>
            <w:pPr>
              <w:pStyle w:val="null3"/>
            </w:pPr>
            <w:r>
              <w:rPr>
                <w:rFonts w:ascii="仿宋_GB2312" w:hAnsi="仿宋_GB2312" w:cs="仿宋_GB2312" w:eastAsia="仿宋_GB2312"/>
              </w:rPr>
              <w:t>一般资格证明文件.docx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参加采购活动前三年内在经营活动中无重大违法记录，提供书面声明。</w:t>
            </w:r>
          </w:p>
        </w:tc>
        <w:tc>
          <w:tcPr>
            <w:tcW w:type="dxa" w:w="1661"/>
          </w:tcPr>
          <w:p>
            <w:pPr>
              <w:pStyle w:val="null3"/>
            </w:pPr>
            <w:r>
              <w:rPr>
                <w:rFonts w:ascii="仿宋_GB2312" w:hAnsi="仿宋_GB2312" w:cs="仿宋_GB2312" w:eastAsia="仿宋_GB2312"/>
              </w:rPr>
              <w:t>一般资格证明文件.docx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信用状况查询</w:t>
            </w:r>
          </w:p>
        </w:tc>
        <w:tc>
          <w:tcPr>
            <w:tcW w:type="dxa" w:w="3322"/>
          </w:tcPr>
          <w:p>
            <w:pPr>
              <w:pStyle w:val="null3"/>
            </w:pPr>
            <w:r>
              <w:rPr>
                <w:rFonts w:ascii="仿宋_GB2312" w:hAnsi="仿宋_GB2312" w:cs="仿宋_GB2312" w:eastAsia="仿宋_GB2312"/>
              </w:rPr>
              <w:t>供应商不得为“信用中国”网站（www.creditchina.gov.cn）被列入“失信被执行人”“重大税收违法案件当事人名单”的供应商，不得为“中国政府采购网”(www.ccgp.gov.cn)被列入“政府采购严重违法失信行为记录名单”的供应商，提供查询截图。</w:t>
            </w:r>
          </w:p>
        </w:tc>
        <w:tc>
          <w:tcPr>
            <w:tcW w:type="dxa" w:w="1661"/>
          </w:tcPr>
          <w:p>
            <w:pPr>
              <w:pStyle w:val="null3"/>
            </w:pPr>
            <w:r>
              <w:rPr>
                <w:rFonts w:ascii="仿宋_GB2312" w:hAnsi="仿宋_GB2312" w:cs="仿宋_GB2312" w:eastAsia="仿宋_GB2312"/>
              </w:rPr>
              <w:t>一般资格证明文件.docx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响应授权证明</w:t>
            </w:r>
          </w:p>
        </w:tc>
        <w:tc>
          <w:tcPr>
            <w:tcW w:type="dxa" w:w="3322"/>
          </w:tcPr>
          <w:p>
            <w:pPr>
              <w:pStyle w:val="null3"/>
            </w:pPr>
            <w:r>
              <w:rPr>
                <w:rFonts w:ascii="仿宋_GB2312" w:hAnsi="仿宋_GB2312" w:cs="仿宋_GB2312" w:eastAsia="仿宋_GB2312"/>
              </w:rPr>
              <w:t>企业法人授权委托书和被授权人有效身份证件（法定代表人直接参加时，只须提供法定代表人身份证明）。</w:t>
            </w:r>
          </w:p>
        </w:tc>
        <w:tc>
          <w:tcPr>
            <w:tcW w:type="dxa" w:w="1661"/>
          </w:tcPr>
          <w:p>
            <w:pPr>
              <w:pStyle w:val="null3"/>
            </w:pPr>
            <w:r>
              <w:rPr>
                <w:rFonts w:ascii="仿宋_GB2312" w:hAnsi="仿宋_GB2312" w:cs="仿宋_GB2312" w:eastAsia="仿宋_GB2312"/>
              </w:rPr>
              <w:t>一般资格证明文件.docx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供应商专业要求</w:t>
            </w:r>
          </w:p>
        </w:tc>
        <w:tc>
          <w:tcPr>
            <w:tcW w:type="dxa" w:w="3322"/>
          </w:tcPr>
          <w:p>
            <w:pPr>
              <w:pStyle w:val="null3"/>
            </w:pPr>
            <w:r>
              <w:rPr>
                <w:rFonts w:ascii="仿宋_GB2312" w:hAnsi="仿宋_GB2312" w:cs="仿宋_GB2312" w:eastAsia="仿宋_GB2312"/>
              </w:rPr>
              <w:t>供应商具备建筑装修装饰工程专业承包二级及以上资质且具有有效的安全生产许可证。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特殊资格证明文件.docx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拟派项目经理具备建筑工程专业二级及以上注册建造师执业资格及安全生产考核合格证（安全B证），且未担任其它在建工程的项目经理。</w:t>
            </w:r>
          </w:p>
        </w:tc>
        <w:tc>
          <w:tcPr>
            <w:tcW w:type="dxa" w:w="1661"/>
          </w:tcPr>
          <w:p>
            <w:pPr>
              <w:pStyle w:val="null3"/>
            </w:pPr>
            <w:r>
              <w:rPr>
                <w:rFonts w:ascii="仿宋_GB2312" w:hAnsi="仿宋_GB2312" w:cs="仿宋_GB2312" w:eastAsia="仿宋_GB2312"/>
              </w:rPr>
              <w:t>特殊资格证明文件.docx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响应文件中相关材料中的供应商名称、项目名称（项目编号）等内容是否前后一致</w:t>
            </w:r>
          </w:p>
        </w:tc>
        <w:tc>
          <w:tcPr>
            <w:tcW w:type="dxa" w:w="1661"/>
          </w:tcPr>
          <w:p>
            <w:pPr>
              <w:pStyle w:val="null3"/>
            </w:pPr>
            <w:r>
              <w:rPr>
                <w:rFonts w:ascii="仿宋_GB2312" w:hAnsi="仿宋_GB2312" w:cs="仿宋_GB2312" w:eastAsia="仿宋_GB2312"/>
              </w:rPr>
              <w:t>技术服务方案.docx 已标价工程量清单 特殊资格证明文件.docx 中小企业声明函 技术服务合同条款及其他商务要求应答表 强制优先采购产品承诺函 响应文件封面 残疾人福利性单位声明函 报价函 标的清单 供应商类似项目业绩一览表 一般资格证明文件.docx 响应函 监狱企业的证明文件 相关承诺.docx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供应商是否按照采购文件要求签字、盖章</w:t>
            </w:r>
          </w:p>
        </w:tc>
        <w:tc>
          <w:tcPr>
            <w:tcW w:type="dxa" w:w="1661"/>
          </w:tcPr>
          <w:p>
            <w:pPr>
              <w:pStyle w:val="null3"/>
            </w:pPr>
            <w:r>
              <w:rPr>
                <w:rFonts w:ascii="仿宋_GB2312" w:hAnsi="仿宋_GB2312" w:cs="仿宋_GB2312" w:eastAsia="仿宋_GB2312"/>
              </w:rPr>
              <w:t>技术服务方案.docx 已标价工程量清单 特殊资格证明文件.docx 中小企业声明函 技术服务合同条款及其他商务要求应答表 强制优先采购产品承诺函 响应文件封面 残疾人福利性单位声明函 报价函 标的清单 供应商类似项目业绩一览表 一般资格证明文件.docx 响应函 监狱企业的证明文件 相关承诺.docx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报价是否满足满足以下条款： （1）货币单位符合采购文件要求 （2）报价符合唯一性要求 （3）未超出包采购预算及最高限价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商务合同条款响应情况</w:t>
            </w:r>
          </w:p>
        </w:tc>
        <w:tc>
          <w:tcPr>
            <w:tcW w:type="dxa" w:w="3322"/>
          </w:tcPr>
          <w:p>
            <w:pPr>
              <w:pStyle w:val="null3"/>
            </w:pPr>
            <w:r>
              <w:rPr>
                <w:rFonts w:ascii="仿宋_GB2312" w:hAnsi="仿宋_GB2312" w:cs="仿宋_GB2312" w:eastAsia="仿宋_GB2312"/>
              </w:rPr>
              <w:t>理解并响应采购文件商务要求及合同条款的要求，且未含有采购人不能接受的附加条件的。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技术要求响应情况</w:t>
            </w:r>
          </w:p>
        </w:tc>
        <w:tc>
          <w:tcPr>
            <w:tcW w:type="dxa" w:w="3322"/>
          </w:tcPr>
          <w:p>
            <w:pPr>
              <w:pStyle w:val="null3"/>
            </w:pPr>
            <w:r>
              <w:rPr>
                <w:rFonts w:ascii="仿宋_GB2312" w:hAnsi="仿宋_GB2312" w:cs="仿宋_GB2312" w:eastAsia="仿宋_GB2312"/>
              </w:rPr>
              <w:t>响应采购文件要求的各项技术（服务）实质性条款。</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完全理解并接受法律法规和采购文件对供应商合法经营的各类规约和责任义务要求，没有出现法律法规或采购文件规定的其他无效情形。</w:t>
            </w:r>
          </w:p>
        </w:tc>
        <w:tc>
          <w:tcPr>
            <w:tcW w:type="dxa" w:w="1661"/>
          </w:tcPr>
          <w:p>
            <w:pPr>
              <w:pStyle w:val="null3"/>
            </w:pPr>
            <w:r>
              <w:rPr>
                <w:rFonts w:ascii="仿宋_GB2312" w:hAnsi="仿宋_GB2312" w:cs="仿宋_GB2312" w:eastAsia="仿宋_GB2312"/>
              </w:rPr>
              <w:t>技术服务方案.docx 已标价工程量清单 特殊资格证明文件.docx 中小企业声明函 技术服务合同条款及其他商务要求应答表 强制优先采购产品承诺函 响应文件封面 残疾人福利性单位声明函 报价函 标的清单 供应商类似项目业绩一览表 一般资格证明文件.docx 响应函 监狱企业的证明文件 相关承诺.docx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一、评审内容：供应商针对本项目编制完善的施工部署，内容包含： ①施工目标：包含成本目标、工期目标及质量目标②施工准备：包含技术准备、材料准备及机具准备③施工安排：工期安排、人员、机械安排。 二、评审标准：1、完整性：方案必须全面，对评审内容中的各项要求有详细描述；2、可实施性：切合本项目实际情况，提出步骤清晰、合理的方案；3、针对性：方案能够紧扣项目实际情况，内容科学合理。 三、赋分标准（满分9分：）①施工目标：每完全满足一个评审标准得1分，基本满足得0.5分，不满足不得分；本项满分3分；②施工准备：每完全满足一个评审标准得1分，基本满足得0.5分，不满足不得分；本项满分3分；③施工安排：每完全满足一个评审标准得1分，基本满足得0.5分，不满足不得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一、评审内容：供应商针对本项目工程编制完善的质量保证措施，内容包含：①质量目标管理体系②施工质量检验制度③技术组织措施 二、评审标准：1、完整性：方案必须全面，对评审内容中的各项要求有详细描述；2、可实施性：切合本项目实际情况，提出步骤清晰、合理的方案；3、针对性：方案能够紧扣项目实际情况，内容科学合理。 三、赋分标准（满分9分）：①质量目标管理体系：每完全满足一个评审标准得1分，基本满足得0.5分，不满足不得分；本项满分3分；②施工质量检验制度：每完全满足一个评审标准得1分，基本满足得0.5分，不满足不得分；本项满分 3分；③技术组织措施：每完全满足一个评审标准得1分，基本满足得0.5分，不满足不得分；本项满分3分。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进度计划措施</w:t>
            </w:r>
          </w:p>
        </w:tc>
        <w:tc>
          <w:tcPr>
            <w:tcW w:type="dxa" w:w="2492"/>
          </w:tcPr>
          <w:p>
            <w:pPr>
              <w:pStyle w:val="null3"/>
            </w:pPr>
            <w:r>
              <w:rPr>
                <w:rFonts w:ascii="仿宋_GB2312" w:hAnsi="仿宋_GB2312" w:cs="仿宋_GB2312" w:eastAsia="仿宋_GB2312"/>
              </w:rPr>
              <w:t>一、评审内容：供应商针对本项目编制完善的进度计划，内容包含： ①项目总进度：包含施工节点控制及进度计划安排②进度保障措施。 二、评审标准：1、完整性：方案必须全面，对评审内容中的各项要求有详细描述；2、可实施性：切合本项目实际情况，提出步骤清晰、合理的方案；3、针对性：方案能够紧扣项目实际情况，内容科学合理。 三、赋分标准（满分9分）：①项目总进度：每完全满足一个评审标准得1.5分，基本满足得0.5分，不满足不得分；本项满分4.5分；②进度保障措施：每完全满足一个评审标准得1.5分，基本满足得 0.5分，不满足不得分；本项满分4.5分。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一、评审内容：供应商针对本项目编制完整的安全施工措施，内容包含：①安全管理体系②安全责任归属划分③安全防护措施等。 二、评审标准：1、完整性：方案必须全面，对评审内容中的各项要求有详细描述；2、可实施性：切合本项目实际情况，提出步骤清晰、合理的方案；3、针对性：方案能够紧扣项目实际情况，内容科学合理。 三、赋分标准（满分9分）：①安全管理体系：每完全满足一个评审标准得1分，基本满足得0.5分，不满足不得分；本项满分3分；②安全责任归属划分：每完全满足一个评审标准得1分，基本满足得0.5分，不满足不得分；本项满分3分；③安全防护措施：每完全满足一个评审标准得1分，基本满足得0.5分，不满足不得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一、评审内容：供应商针对本项目编制完整的文明施工措施，内容包含：①文明施工管理目标及技术措施②文明施工现场管理：材料管理措施。 二、评审标准：1、完整性：方案必须全面，对评审内容中的各项要求有详细描述；2、可实施性：切合本项目实际情况，提出步骤清晰、合理的方案；3、针对性：方案能够紧扣项目实际情况，内容科学合理。 三、赋分标准（满分9分）：①文明施工管理目标及技术措施：每完全满足一个评审标准得1.5分，基本满足得1分，不满足不得分；本项满分4.5分；②文明施工现场管理：每完全满足一个评审标准得1.5分，基本满足得1分，不满足不得分；本项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工程验收维护方案</w:t>
            </w:r>
          </w:p>
        </w:tc>
        <w:tc>
          <w:tcPr>
            <w:tcW w:type="dxa" w:w="2492"/>
          </w:tcPr>
          <w:p>
            <w:pPr>
              <w:pStyle w:val="null3"/>
            </w:pPr>
            <w:r>
              <w:rPr>
                <w:rFonts w:ascii="仿宋_GB2312" w:hAnsi="仿宋_GB2312" w:cs="仿宋_GB2312" w:eastAsia="仿宋_GB2312"/>
              </w:rPr>
              <w:t>一、评审内容：结合本项目的实际，供应商依据国家相关规定提出工程验收维护方案，内容包含：①保修责任及保修承诺②响应时间及方式。 二、评审标准：1、完整性：内容必须全面，对评审内容中的各项要求有详细描述；2、落实性：切合项目具体情况，提出责任明确、要求具体的方案；3、针对性：内容能够紧扣项目实际情况，内容科学合理。 三、赋分标准（满分9分）：①保修责任及保修承诺：每完全满足一个评审标准得1.5分，基本满足得1分，不满足不得分；本项满分4.5分；②响应时间及方式：每完全满足一个评审标准得1.5分，基本满足得1分，不满足不得分；本项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一、评审内容：针对本项目提供资源配置计划，内容包含：①拟投入的主要施工机械设备计划②主要材料进场计划③劳动力投入计划。 二、评审标准：1、完整性：方案须全面，对评审内容中的各项要求有详细描述及说明；2、可实施性：切合本项目实际情况，实施步骤清晰、合理；3、针对性：方案能够紧扣项目实际情况，内容科学合理。 三、赋分标准（满分9 分）：①拟投入的主要施工机械设备计划：每完全满足一个评审标准得1分，基本满足得0.5分，不满足不得分；本项满分3分；②主要材料进场计划：每完全满足一个评审标准得1分，基本满足得0.5分，不满足不得分；本项满分3分；③劳动力投入计划：每完全满足一个评审标准得1分，基本满足得0.5分，不满足不得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1.拟派项目经理具备高级工程师及以上技术职称的(含高级工程师),得1分；具备中级技术职称的，得 0.5分；其余情况不得分。 2.提供针对本项目拟派的人员配备清单项目经理除外（至少包含具体成员姓名、年龄、学历、资格证书、从业工作年限） ，每提供1个得1分。缺项或未提供不得分（满分4分）。 注:投标人提供的加盖供应商公章的证书的扫描件或复印件为准。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优先采购产品</w:t>
            </w:r>
          </w:p>
        </w:tc>
        <w:tc>
          <w:tcPr>
            <w:tcW w:type="dxa" w:w="2492"/>
          </w:tcPr>
          <w:p>
            <w:pPr>
              <w:pStyle w:val="null3"/>
            </w:pPr>
            <w:r>
              <w:rPr>
                <w:rFonts w:ascii="仿宋_GB2312" w:hAnsi="仿宋_GB2312" w:cs="仿宋_GB2312" w:eastAsia="仿宋_GB2312"/>
              </w:rPr>
              <w:t>供应商承诺提供节能、环境标志产品，并提供响应产品有效的节能产品或环境标志产品认证证书(复印件加盖供应商公章)的，每有一项属于节能产品或环境标志产品政府采购品目清单中优先采购范围的得1分，本项最高得分3分。不提供或不满足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相关承诺</w:t>
            </w:r>
          </w:p>
        </w:tc>
        <w:tc>
          <w:tcPr>
            <w:tcW w:type="dxa" w:w="2492"/>
          </w:tcPr>
          <w:p>
            <w:pPr>
              <w:pStyle w:val="null3"/>
            </w:pPr>
            <w:r>
              <w:rPr>
                <w:rFonts w:ascii="仿宋_GB2312" w:hAnsi="仿宋_GB2312" w:cs="仿宋_GB2312" w:eastAsia="仿宋_GB2312"/>
              </w:rPr>
              <w:t>针对实际需求，在保证完成本项目的基础上，对降低工程造价、缩短施工周期、改造后期的维修等其他优惠性服务提供实质性承诺；每提供一条得1分，满分4分。不提供不得分。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相关承诺.docx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提供近3年来类似项目业绩（以合同签订时间为准），提供合同复印件（扫描件）加盖供应商公章，每份有效业绩计2.5分，最高得 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详见附件：相关承诺.docx</w:t>
      </w:r>
    </w:p>
    <w:p>
      <w:pPr>
        <w:pStyle w:val="null3"/>
        <w:ind w:firstLine="960"/>
      </w:pPr>
      <w:r>
        <w:rPr>
          <w:rFonts w:ascii="仿宋_GB2312" w:hAnsi="仿宋_GB2312" w:cs="仿宋_GB2312" w:eastAsia="仿宋_GB2312"/>
        </w:rPr>
        <w:t>详见附件：一般资格证明文件.docx</w:t>
      </w:r>
    </w:p>
    <w:p>
      <w:pPr>
        <w:pStyle w:val="null3"/>
        <w:ind w:firstLine="960"/>
      </w:pPr>
      <w:r>
        <w:rPr>
          <w:rFonts w:ascii="仿宋_GB2312" w:hAnsi="仿宋_GB2312" w:cs="仿宋_GB2312" w:eastAsia="仿宋_GB2312"/>
        </w:rPr>
        <w:t>详见附件：特殊资格证明文件.docx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