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版本号：DQB-2025087-CS-220251118001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2025年突发环境事件应急演练项目(二次)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DQB-2025087-CS-2</w:t>
      </w:r>
      <w:r>
        <w:br/>
      </w:r>
      <w:r>
        <w:br/>
      </w:r>
      <w:r>
        <w:br/>
      </w:r>
    </w:p>
    <w:p>
      <w:pPr>
        <w:pStyle w:val="null3"/>
        <w:jc w:val="center"/>
        <w:outlineLvl w:val="2"/>
      </w:pPr>
      <w:r>
        <w:rPr>
          <w:rFonts w:ascii="仿宋_GB2312" w:hAnsi="仿宋_GB2312" w:cs="仿宋_GB2312" w:eastAsia="仿宋_GB2312"/>
          <w:sz w:val="28"/>
          <w:b/>
        </w:rPr>
        <w:t>陕西省生态环境厅机关</w:t>
      </w:r>
    </w:p>
    <w:p>
      <w:pPr>
        <w:pStyle w:val="null3"/>
        <w:jc w:val="center"/>
        <w:outlineLvl w:val="2"/>
      </w:pPr>
      <w:r>
        <w:rPr>
          <w:rFonts w:ascii="仿宋_GB2312" w:hAnsi="仿宋_GB2312" w:cs="仿宋_GB2312" w:eastAsia="仿宋_GB2312"/>
          <w:sz w:val="28"/>
          <w:b/>
        </w:rPr>
        <w:t>陕西德勤招标有限公司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2025年11月18日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陕西德勤招标有限公司</w:t>
      </w:r>
      <w:r>
        <w:rPr>
          <w:rFonts w:ascii="仿宋_GB2312" w:hAnsi="仿宋_GB2312" w:cs="仿宋_GB2312" w:eastAsia="仿宋_GB2312"/>
        </w:rPr>
        <w:t>（以下简称“代理机构”）受</w:t>
      </w:r>
      <w:r>
        <w:rPr>
          <w:rFonts w:ascii="仿宋_GB2312" w:hAnsi="仿宋_GB2312" w:cs="仿宋_GB2312" w:eastAsia="仿宋_GB2312"/>
        </w:rPr>
        <w:t>陕西省生态环境厅机关</w:t>
      </w:r>
      <w:r>
        <w:rPr>
          <w:rFonts w:ascii="仿宋_GB2312" w:hAnsi="仿宋_GB2312" w:cs="仿宋_GB2312" w:eastAsia="仿宋_GB2312"/>
        </w:rPr>
        <w:t>委托，拟对</w:t>
      </w:r>
      <w:r>
        <w:rPr>
          <w:rFonts w:ascii="仿宋_GB2312" w:hAnsi="仿宋_GB2312" w:cs="仿宋_GB2312" w:eastAsia="仿宋_GB2312"/>
        </w:rPr>
        <w:t>2025年突发环境事件应急演练项目(二次)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DQB-2025087-CS-2</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2025年突发环境事件应急演练项目(二次)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为深入打好污染防治攻坚战，防范化解重大环境风险，认真贯彻落实《陕西省加强突发环境事件应急能力建设的实施方案》，推动“一河一策一图”成果落地见效，有效提升突发环境事件应对能力，确保突发环境事件后，能积极响应、快速应对、科学处置。结合我省环境安全实际情况，实施2025年环境应急演练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1、营业执照等主体资格证明文件：提供企业营业执照/事业单位法人证书/专业服务机构执业许可证/民办非企业单位登记证书。</w:t>
      </w:r>
    </w:p>
    <w:p>
      <w:pPr>
        <w:pStyle w:val="null3"/>
      </w:pPr>
      <w:r>
        <w:rPr>
          <w:rFonts w:ascii="仿宋_GB2312" w:hAnsi="仿宋_GB2312" w:cs="仿宋_GB2312" w:eastAsia="仿宋_GB2312"/>
        </w:rPr>
        <w:t>2、财务状况报告：提供2024年度经审计的财务报告（成立时间至提交响应文件截止时间不足一年的可提供成立后任意时段的资产负债表），或其递交响应文件截止之日前三个月内基本开户银行出具的资信证明，或信用担保机构出具的投标担保函（以上三种形式的资料提供任何一种即可）。事业单位法人参与磋商可不提供财务状况报告。</w:t>
      </w:r>
    </w:p>
    <w:p>
      <w:pPr>
        <w:pStyle w:val="null3"/>
      </w:pPr>
      <w:r>
        <w:rPr>
          <w:rFonts w:ascii="仿宋_GB2312" w:hAnsi="仿宋_GB2312" w:cs="仿宋_GB2312" w:eastAsia="仿宋_GB2312"/>
        </w:rPr>
        <w:t>3、书面声明：提供书面声明，包括声明具有履行合同所必需的设备和专业技术能力；未为本项目提供整体设计、规范编制或者项目管理、监理、检测等服务。</w:t>
      </w:r>
    </w:p>
    <w:p>
      <w:pPr>
        <w:pStyle w:val="null3"/>
      </w:pPr>
      <w:r>
        <w:rPr>
          <w:rFonts w:ascii="仿宋_GB2312" w:hAnsi="仿宋_GB2312" w:cs="仿宋_GB2312" w:eastAsia="仿宋_GB2312"/>
        </w:rPr>
        <w:t>4、社保缴纳证明：提供递交响应文件截止之日前一年内任意一个月的社会保障资金缴存单据或社保机构开具的社会保险参保缴费情况证明。依法不需要缴纳社会保障资金的供应商应提供相关文件证明。事业单位法人参与磋商可不提供社会保障资金缴纳证明。</w:t>
      </w:r>
    </w:p>
    <w:p>
      <w:pPr>
        <w:pStyle w:val="null3"/>
      </w:pPr>
      <w:r>
        <w:rPr>
          <w:rFonts w:ascii="仿宋_GB2312" w:hAnsi="仿宋_GB2312" w:cs="仿宋_GB2312" w:eastAsia="仿宋_GB2312"/>
        </w:rPr>
        <w:t>5、税收缴纳证明：提供递交响应文件截止之日前一年内任意一个月的依法缴纳税收的相关凭据，凭据应有税务机关或代收机关的公章或业务专用章。依法免税或无须缴纳税收的供应商，应提供相应证明文件。事业单位法人参与磋商可不提供税收缴纳证明。</w:t>
      </w:r>
    </w:p>
    <w:p>
      <w:pPr>
        <w:pStyle w:val="null3"/>
      </w:pPr>
      <w:r>
        <w:rPr>
          <w:rFonts w:ascii="仿宋_GB2312" w:hAnsi="仿宋_GB2312" w:cs="仿宋_GB2312" w:eastAsia="仿宋_GB2312"/>
        </w:rPr>
        <w:t>6、近三年无重大违法、违纪书面声明：提供《近三年无重大违法、违纪书面声明》。</w:t>
      </w:r>
    </w:p>
    <w:p>
      <w:pPr>
        <w:pStyle w:val="null3"/>
      </w:pPr>
      <w:r>
        <w:rPr>
          <w:rFonts w:ascii="仿宋_GB2312" w:hAnsi="仿宋_GB2312" w:cs="仿宋_GB2312" w:eastAsia="仿宋_GB2312"/>
        </w:rPr>
        <w:t>7、信用记录：供应商未被列入“信用中国”网站记录的“失信被执行人”或“重大税收违法案件当事人”名单；不处于“中国政府采购网”记录的“政府采购严重违法失信行为记录名单”中的禁止参加政府采购活动期间。（以采购人或采购代理机构开标当天查询结果为准）</w:t>
      </w:r>
    </w:p>
    <w:p>
      <w:pPr>
        <w:pStyle w:val="null3"/>
      </w:pPr>
      <w:r>
        <w:rPr>
          <w:rFonts w:ascii="仿宋_GB2312" w:hAnsi="仿宋_GB2312" w:cs="仿宋_GB2312" w:eastAsia="仿宋_GB2312"/>
        </w:rPr>
        <w:t>8、控股管理关系：提供直接控股和管理关系清单。若与其他供应商存在单位负责人为同一人或者存在直接控股、管理关系的，则响应无效。</w:t>
      </w:r>
    </w:p>
    <w:p>
      <w:pPr>
        <w:pStyle w:val="null3"/>
      </w:pPr>
      <w:r>
        <w:rPr>
          <w:rFonts w:ascii="仿宋_GB2312" w:hAnsi="仿宋_GB2312" w:cs="仿宋_GB2312" w:eastAsia="仿宋_GB2312"/>
        </w:rPr>
        <w:t>9、法定代表人授权委托书：法定代表人参加磋商的，须提供本人身份证复印件（附在响应文件中）；法定代表人授权他人参加磋商的，须提供法定代表人授权委托书；联合体磋商的，须提供联合体牵头人法定代表人身份证明和法定代表人授权委托书。磋商文件中凡是需要法定代表人盖章之处，非法人单位的负责人均参照执行。 法人的分支机构参与磋商时，除提供法定代表人授权委托书、法定代表人身份证明或联合体授权委托书外，还须同时提供法人给分支机构出具的授权书。</w:t>
      </w:r>
    </w:p>
    <w:p>
      <w:pPr>
        <w:pStyle w:val="null3"/>
      </w:pPr>
      <w:r>
        <w:rPr>
          <w:rFonts w:ascii="仿宋_GB2312" w:hAnsi="仿宋_GB2312" w:cs="仿宋_GB2312" w:eastAsia="仿宋_GB2312"/>
        </w:rPr>
        <w:t>10、联合体协议：本项目接受联合体磋商（以联合体参加磋商的，应满足下列要求：联合体提出磋商申请的，联合体各方应分别具备相应的资格条件，联合体成员不超过两家，并提交联合体协议）。</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陕西省生态环境厅机关</w:t>
      </w:r>
    </w:p>
    <w:p>
      <w:pPr>
        <w:pStyle w:val="null3"/>
      </w:pPr>
      <w:r>
        <w:rPr>
          <w:rFonts w:ascii="仿宋_GB2312" w:hAnsi="仿宋_GB2312" w:cs="仿宋_GB2312" w:eastAsia="仿宋_GB2312"/>
        </w:rPr>
        <w:t xml:space="preserve"> 地址： </w:t>
      </w:r>
      <w:r>
        <w:rPr>
          <w:rFonts w:ascii="仿宋_GB2312" w:hAnsi="仿宋_GB2312" w:cs="仿宋_GB2312" w:eastAsia="仿宋_GB2312"/>
        </w:rPr>
        <w:t>省政府前大楼10层西侧</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陕西省生态环境厅机关经办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029-63916258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陕西德勤招标有限公司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陕西省西安市高新区丈八一路1号汇鑫中心D座2206室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李浩、姜仕路、李维婧、李寅辰</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029-81169855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开户名称：陕西德勤招标有限公司</w:t>
            </w:r>
          </w:p>
          <w:p>
            <w:pPr>
              <w:pStyle w:val="null3"/>
            </w:pPr>
            <w:r>
              <w:rPr>
                <w:rFonts w:ascii="仿宋_GB2312" w:hAnsi="仿宋_GB2312" w:cs="仿宋_GB2312" w:eastAsia="仿宋_GB2312"/>
              </w:rPr>
              <w:t>开户银行：光大银行西安丈八东路支行</w:t>
            </w:r>
          </w:p>
          <w:p>
            <w:pPr>
              <w:pStyle w:val="null3"/>
            </w:pPr>
            <w:r>
              <w:rPr>
                <w:rFonts w:ascii="仿宋_GB2312" w:hAnsi="仿宋_GB2312" w:cs="仿宋_GB2312" w:eastAsia="仿宋_GB2312"/>
              </w:rPr>
              <w:t>银行账号：52880188000141945</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代理服务费收费标准：成交金额100万元以下，按照费率1.5%计取，成交金额100-500万元，按照费率1.1%计取。 注：采购代理服务费收费按差额定率累进法计算。</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陕西省生态环境厅机关</w:t>
      </w:r>
      <w:r>
        <w:rPr>
          <w:rFonts w:ascii="仿宋_GB2312" w:hAnsi="仿宋_GB2312" w:cs="仿宋_GB2312" w:eastAsia="仿宋_GB2312"/>
        </w:rPr>
        <w:t>和</w:t>
      </w:r>
      <w:r>
        <w:rPr>
          <w:rFonts w:ascii="仿宋_GB2312" w:hAnsi="仿宋_GB2312" w:cs="仿宋_GB2312" w:eastAsia="仿宋_GB2312"/>
        </w:rPr>
        <w:t>陕西德勤招标有限公司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陕西省生态环境厅机关</w:t>
      </w:r>
      <w:r>
        <w:rPr>
          <w:rFonts w:ascii="仿宋_GB2312" w:hAnsi="仿宋_GB2312" w:cs="仿宋_GB2312" w:eastAsia="仿宋_GB2312"/>
        </w:rPr>
        <w:t>负责解释。除上述磋商文件内容，其他内容由</w:t>
      </w:r>
      <w:r>
        <w:rPr>
          <w:rFonts w:ascii="仿宋_GB2312" w:hAnsi="仿宋_GB2312" w:cs="仿宋_GB2312" w:eastAsia="仿宋_GB2312"/>
        </w:rPr>
        <w:t>陕西德勤招标有限公司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陕西省生态环境厅机关</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陕西德勤招标有限公司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详见采购文件及合同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陕西德勤招标有限公司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陕西德勤招标有限公司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陕西德勤招标有限公司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联系人：李浩、姜仕路、李维婧、李寅辰</w:t>
      </w:r>
    </w:p>
    <w:p>
      <w:pPr>
        <w:pStyle w:val="null3"/>
      </w:pPr>
      <w:r>
        <w:rPr>
          <w:rFonts w:ascii="仿宋_GB2312" w:hAnsi="仿宋_GB2312" w:cs="仿宋_GB2312" w:eastAsia="仿宋_GB2312"/>
        </w:rPr>
        <w:t>联系电话：029-81169855</w:t>
      </w:r>
    </w:p>
    <w:p>
      <w:pPr>
        <w:pStyle w:val="null3"/>
      </w:pPr>
      <w:r>
        <w:rPr>
          <w:rFonts w:ascii="仿宋_GB2312" w:hAnsi="仿宋_GB2312" w:cs="仿宋_GB2312" w:eastAsia="仿宋_GB2312"/>
        </w:rPr>
        <w:t>地址：陕西省西安市高新区丈八一路1号汇鑫中心D座2206室</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深入打好污染防治攻坚战，防范化解重大环境风险，认真贯彻落实《陕西省加强突发环境事件应急能力建设的实施方案》，推动“一河一策一图”成果落地见效，有效提升突发环境事件应对能力，确保突发环境事件后，能积极响应、快速应对、科学处置。结合我省环境安全实际情况，实施2025年环境应急演练项目。</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500,000.00</w:t>
      </w:r>
    </w:p>
    <w:p>
      <w:pPr>
        <w:pStyle w:val="null3"/>
      </w:pPr>
      <w:r>
        <w:rPr>
          <w:rFonts w:ascii="仿宋_GB2312" w:hAnsi="仿宋_GB2312" w:cs="仿宋_GB2312" w:eastAsia="仿宋_GB2312"/>
        </w:rPr>
        <w:t>采购包最高限价（元）: 500,000.00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2025年突发环境事件应急演练</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标的名称：2025年突发环境事件应急演练</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outlineLvl w:val="0"/>
            </w:pPr>
            <w:r>
              <w:rPr>
                <w:rFonts w:ascii="仿宋_GB2312" w:hAnsi="仿宋_GB2312" w:cs="仿宋_GB2312" w:eastAsia="仿宋_GB2312"/>
                <w:sz w:val="21"/>
                <w:b/>
              </w:rPr>
              <w:t>一、项目目标</w:t>
            </w:r>
          </w:p>
          <w:p>
            <w:pPr>
              <w:pStyle w:val="null3"/>
              <w:jc w:val="both"/>
              <w:outlineLvl w:val="0"/>
            </w:pPr>
            <w:r>
              <w:rPr>
                <w:rFonts w:ascii="仿宋_GB2312" w:hAnsi="仿宋_GB2312" w:cs="仿宋_GB2312" w:eastAsia="仿宋_GB2312"/>
                <w:sz w:val="21"/>
                <w:b/>
              </w:rPr>
              <w:t>为深入打好污染防治攻坚战，防范化解重大环境风险，认真贯彻落实《陕西省加强突发环境事件应急能力建设的实施方案》，推动</w:t>
            </w:r>
            <w:r>
              <w:rPr>
                <w:rFonts w:ascii="仿宋_GB2312" w:hAnsi="仿宋_GB2312" w:cs="仿宋_GB2312" w:eastAsia="仿宋_GB2312"/>
                <w:sz w:val="21"/>
                <w:b/>
              </w:rPr>
              <w:t>“一河一策一图”成果落地见效，有效提升突发环境事件应对能力，确保突发环境事件后，能积极响应、快速应对、科学处置。结合我省环境安全实际情况，提出2025年环境应急演练项目采购需求。</w:t>
            </w:r>
          </w:p>
          <w:p>
            <w:pPr>
              <w:pStyle w:val="null3"/>
              <w:jc w:val="both"/>
              <w:outlineLvl w:val="0"/>
            </w:pPr>
            <w:r>
              <w:rPr>
                <w:rFonts w:ascii="仿宋_GB2312" w:hAnsi="仿宋_GB2312" w:cs="仿宋_GB2312" w:eastAsia="仿宋_GB2312"/>
                <w:sz w:val="21"/>
                <w:b/>
              </w:rPr>
              <w:t>二、项目依据</w:t>
            </w:r>
          </w:p>
          <w:p>
            <w:pPr>
              <w:pStyle w:val="null3"/>
              <w:jc w:val="both"/>
              <w:outlineLvl w:val="0"/>
            </w:pPr>
            <w:r>
              <w:rPr>
                <w:rFonts w:ascii="仿宋_GB2312" w:hAnsi="仿宋_GB2312" w:cs="仿宋_GB2312" w:eastAsia="仿宋_GB2312"/>
                <w:sz w:val="21"/>
                <w:b/>
              </w:rPr>
              <w:t>1.《突发环境事件应急管理办法》（部令〔2015〕第34号）</w:t>
            </w:r>
          </w:p>
          <w:p>
            <w:pPr>
              <w:pStyle w:val="null3"/>
              <w:jc w:val="both"/>
              <w:outlineLvl w:val="0"/>
            </w:pPr>
            <w:r>
              <w:rPr>
                <w:rFonts w:ascii="仿宋_GB2312" w:hAnsi="仿宋_GB2312" w:cs="仿宋_GB2312" w:eastAsia="仿宋_GB2312"/>
                <w:sz w:val="21"/>
                <w:b/>
              </w:rPr>
              <w:t>2.《中华人民共和国环境保护法》</w:t>
            </w:r>
          </w:p>
          <w:p>
            <w:pPr>
              <w:pStyle w:val="null3"/>
              <w:jc w:val="both"/>
              <w:outlineLvl w:val="0"/>
            </w:pPr>
            <w:r>
              <w:rPr>
                <w:rFonts w:ascii="仿宋_GB2312" w:hAnsi="仿宋_GB2312" w:cs="仿宋_GB2312" w:eastAsia="仿宋_GB2312"/>
                <w:sz w:val="21"/>
                <w:b/>
              </w:rPr>
              <w:t>3.《中华人民共和国水污染防治法》</w:t>
            </w:r>
          </w:p>
          <w:p>
            <w:pPr>
              <w:pStyle w:val="null3"/>
              <w:jc w:val="both"/>
              <w:outlineLvl w:val="0"/>
            </w:pPr>
            <w:r>
              <w:rPr>
                <w:rFonts w:ascii="仿宋_GB2312" w:hAnsi="仿宋_GB2312" w:cs="仿宋_GB2312" w:eastAsia="仿宋_GB2312"/>
                <w:sz w:val="21"/>
                <w:b/>
              </w:rPr>
              <w:t>4.《突发事件应急预案管理办法》</w:t>
            </w:r>
          </w:p>
          <w:p>
            <w:pPr>
              <w:pStyle w:val="null3"/>
              <w:jc w:val="both"/>
              <w:outlineLvl w:val="0"/>
            </w:pPr>
            <w:r>
              <w:rPr>
                <w:rFonts w:ascii="仿宋_GB2312" w:hAnsi="仿宋_GB2312" w:cs="仿宋_GB2312" w:eastAsia="仿宋_GB2312"/>
                <w:sz w:val="21"/>
                <w:b/>
              </w:rPr>
              <w:t>5.《陕西省突发环境事件总体应急预案》</w:t>
            </w:r>
          </w:p>
          <w:p>
            <w:pPr>
              <w:pStyle w:val="null3"/>
              <w:jc w:val="both"/>
              <w:outlineLvl w:val="0"/>
            </w:pPr>
            <w:r>
              <w:rPr>
                <w:rFonts w:ascii="仿宋_GB2312" w:hAnsi="仿宋_GB2312" w:cs="仿宋_GB2312" w:eastAsia="仿宋_GB2312"/>
                <w:sz w:val="21"/>
                <w:b/>
              </w:rPr>
              <w:t>6.《关于印发&lt;重点河流突发水污染事件环境应急“一河一策一图实战应用大演练活动方案”&gt;的通知》</w:t>
            </w:r>
          </w:p>
          <w:p>
            <w:pPr>
              <w:pStyle w:val="null3"/>
              <w:jc w:val="both"/>
              <w:outlineLvl w:val="0"/>
            </w:pPr>
            <w:r>
              <w:rPr>
                <w:rFonts w:ascii="仿宋_GB2312" w:hAnsi="仿宋_GB2312" w:cs="仿宋_GB2312" w:eastAsia="仿宋_GB2312"/>
                <w:sz w:val="21"/>
                <w:b/>
              </w:rPr>
              <w:t>7.《陕西省加强突发环境事件应急能力建设的实施方案》</w:t>
            </w:r>
          </w:p>
          <w:p>
            <w:pPr>
              <w:pStyle w:val="null3"/>
              <w:jc w:val="both"/>
              <w:outlineLvl w:val="0"/>
            </w:pPr>
            <w:r>
              <w:rPr>
                <w:rFonts w:ascii="仿宋_GB2312" w:hAnsi="仿宋_GB2312" w:cs="仿宋_GB2312" w:eastAsia="仿宋_GB2312"/>
                <w:sz w:val="21"/>
                <w:b/>
              </w:rPr>
              <w:t>8.陕西省突发环境事件应急演练项目名称及预算表。</w:t>
            </w:r>
          </w:p>
          <w:p>
            <w:pPr>
              <w:pStyle w:val="null3"/>
              <w:jc w:val="both"/>
              <w:outlineLvl w:val="0"/>
            </w:pPr>
            <w:r>
              <w:rPr>
                <w:rFonts w:ascii="仿宋_GB2312" w:hAnsi="仿宋_GB2312" w:cs="仿宋_GB2312" w:eastAsia="仿宋_GB2312"/>
                <w:sz w:val="21"/>
                <w:b/>
              </w:rPr>
              <w:t>三、项目内容</w:t>
            </w:r>
          </w:p>
          <w:p>
            <w:pPr>
              <w:pStyle w:val="null3"/>
              <w:jc w:val="both"/>
              <w:outlineLvl w:val="0"/>
            </w:pPr>
            <w:r>
              <w:rPr>
                <w:rFonts w:ascii="仿宋_GB2312" w:hAnsi="仿宋_GB2312" w:cs="仿宋_GB2312" w:eastAsia="仿宋_GB2312"/>
                <w:sz w:val="21"/>
                <w:b/>
              </w:rPr>
              <w:t>在商洛丹江口水库开展重大敏感突发环境事件应急能力检验性演练。</w:t>
            </w:r>
          </w:p>
          <w:p>
            <w:pPr>
              <w:pStyle w:val="null3"/>
              <w:jc w:val="both"/>
              <w:outlineLvl w:val="0"/>
            </w:pPr>
            <w:r>
              <w:rPr>
                <w:rFonts w:ascii="仿宋_GB2312" w:hAnsi="仿宋_GB2312" w:cs="仿宋_GB2312" w:eastAsia="仿宋_GB2312"/>
                <w:sz w:val="21"/>
                <w:b/>
              </w:rPr>
              <w:t>四、项目实施</w:t>
            </w:r>
          </w:p>
          <w:p>
            <w:pPr>
              <w:pStyle w:val="null3"/>
              <w:jc w:val="both"/>
              <w:outlineLvl w:val="0"/>
            </w:pPr>
            <w:r>
              <w:rPr>
                <w:rFonts w:ascii="仿宋_GB2312" w:hAnsi="仿宋_GB2312" w:cs="仿宋_GB2312" w:eastAsia="仿宋_GB2312"/>
                <w:sz w:val="21"/>
                <w:b/>
              </w:rPr>
              <w:t>1.项目管理</w:t>
            </w:r>
          </w:p>
          <w:p>
            <w:pPr>
              <w:pStyle w:val="null3"/>
              <w:jc w:val="both"/>
              <w:outlineLvl w:val="0"/>
            </w:pPr>
            <w:r>
              <w:rPr>
                <w:rFonts w:ascii="仿宋_GB2312" w:hAnsi="仿宋_GB2312" w:cs="仿宋_GB2312" w:eastAsia="仿宋_GB2312"/>
                <w:sz w:val="21"/>
                <w:b/>
              </w:rPr>
              <w:t>本项目由省生态环境厅统一负责管理，厅应急处及有关市生态环境部门、第三方机构负责项目的组织实施。</w:t>
            </w:r>
          </w:p>
          <w:p>
            <w:pPr>
              <w:pStyle w:val="null3"/>
              <w:jc w:val="both"/>
              <w:outlineLvl w:val="0"/>
            </w:pPr>
            <w:r>
              <w:rPr>
                <w:rFonts w:ascii="仿宋_GB2312" w:hAnsi="仿宋_GB2312" w:cs="仿宋_GB2312" w:eastAsia="仿宋_GB2312"/>
                <w:sz w:val="21"/>
                <w:b/>
              </w:rPr>
              <w:t>2.项目实施。省生态环境厅应急处负责该项目的实施监督，并抽调专人和相关市级生态环境部门具体项目负责人共同负责项目的实施及管理工作。</w:t>
            </w:r>
          </w:p>
          <w:p>
            <w:pPr>
              <w:pStyle w:val="null3"/>
              <w:jc w:val="both"/>
              <w:outlineLvl w:val="0"/>
            </w:pPr>
            <w:r>
              <w:rPr>
                <w:rFonts w:ascii="仿宋_GB2312" w:hAnsi="仿宋_GB2312" w:cs="仿宋_GB2312" w:eastAsia="仿宋_GB2312"/>
                <w:sz w:val="21"/>
                <w:b/>
              </w:rPr>
              <w:t>3.项目检查验收。本项目考核验收由省生态环境厅组织实施。项目实施完成后，将组织对实施情况进行检查验收。</w:t>
            </w:r>
          </w:p>
          <w:p>
            <w:pPr>
              <w:pStyle w:val="null3"/>
              <w:jc w:val="both"/>
              <w:outlineLvl w:val="0"/>
            </w:pPr>
            <w:r>
              <w:rPr>
                <w:rFonts w:ascii="仿宋_GB2312" w:hAnsi="仿宋_GB2312" w:cs="仿宋_GB2312" w:eastAsia="仿宋_GB2312"/>
                <w:sz w:val="21"/>
                <w:b/>
              </w:rPr>
              <w:t>对验收过程中出现的各类违法违纪行为，将依据相关规定和法律，严格予以追究。</w:t>
            </w:r>
          </w:p>
          <w:p>
            <w:pPr>
              <w:pStyle w:val="null3"/>
              <w:jc w:val="both"/>
              <w:outlineLvl w:val="0"/>
            </w:pPr>
            <w:r>
              <w:rPr>
                <w:rFonts w:ascii="仿宋_GB2312" w:hAnsi="仿宋_GB2312" w:cs="仿宋_GB2312" w:eastAsia="仿宋_GB2312"/>
                <w:sz w:val="21"/>
                <w:b/>
              </w:rPr>
              <w:t>五、工作时限</w:t>
            </w:r>
          </w:p>
          <w:p>
            <w:pPr>
              <w:pStyle w:val="null3"/>
              <w:jc w:val="both"/>
              <w:outlineLvl w:val="0"/>
            </w:pPr>
            <w:r>
              <w:rPr>
                <w:rFonts w:ascii="仿宋_GB2312" w:hAnsi="仿宋_GB2312" w:cs="仿宋_GB2312" w:eastAsia="仿宋_GB2312"/>
                <w:sz w:val="21"/>
                <w:b/>
              </w:rPr>
              <w:t>签订合同后，</w:t>
            </w:r>
            <w:r>
              <w:rPr>
                <w:rFonts w:ascii="仿宋_GB2312" w:hAnsi="仿宋_GB2312" w:cs="仿宋_GB2312" w:eastAsia="仿宋_GB2312"/>
                <w:sz w:val="21"/>
                <w:b/>
              </w:rPr>
              <w:t>20日内中标单位按照省生态环境厅要求完成突发环境事件应急演练实施工作。</w:t>
            </w:r>
          </w:p>
          <w:p>
            <w:pPr>
              <w:pStyle w:val="null3"/>
              <w:jc w:val="both"/>
            </w:pPr>
            <w:r>
              <w:rPr>
                <w:rFonts w:ascii="仿宋_GB2312" w:hAnsi="仿宋_GB2312" w:cs="仿宋_GB2312" w:eastAsia="仿宋_GB2312"/>
                <w:sz w:val="21"/>
              </w:rPr>
              <w:t>六、</w:t>
            </w:r>
            <w:r>
              <w:rPr>
                <w:rFonts w:ascii="仿宋_GB2312" w:hAnsi="仿宋_GB2312" w:cs="仿宋_GB2312" w:eastAsia="仿宋_GB2312"/>
                <w:sz w:val="21"/>
              </w:rPr>
              <w:t>2025</w:t>
            </w:r>
            <w:r>
              <w:rPr>
                <w:rFonts w:ascii="仿宋_GB2312" w:hAnsi="仿宋_GB2312" w:cs="仿宋_GB2312" w:eastAsia="仿宋_GB2312"/>
                <w:sz w:val="21"/>
              </w:rPr>
              <w:t>年突发环境事件应急演练项目清单</w:t>
            </w:r>
          </w:p>
          <w:tbl>
            <w:tblPr>
              <w:tblInd w:type="dxa" w:w="135"/>
              <w:tblBorders>
                <w:top w:val="none" w:color="000000" w:sz="4"/>
                <w:left w:val="none" w:color="000000" w:sz="4"/>
                <w:bottom w:val="none" w:color="000000" w:sz="4"/>
                <w:right w:val="none" w:color="000000" w:sz="4"/>
                <w:insideH w:val="none"/>
                <w:insideV w:val="none"/>
              </w:tblBorders>
            </w:tblPr>
            <w:tblGrid>
              <w:gridCol w:w="214"/>
              <w:gridCol w:w="665"/>
              <w:gridCol w:w="1390"/>
              <w:gridCol w:w="278"/>
            </w:tblGrid>
            <w:tr>
              <w:tc>
                <w:tcPr>
                  <w:tcW w:type="dxa" w:w="21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序号</w:t>
                  </w:r>
                </w:p>
              </w:tc>
              <w:tc>
                <w:tcPr>
                  <w:tcW w:type="dxa" w:w="6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名称</w:t>
                  </w:r>
                </w:p>
              </w:tc>
              <w:tc>
                <w:tcPr>
                  <w:tcW w:type="dxa" w:w="139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内容</w:t>
                  </w:r>
                </w:p>
              </w:tc>
              <w:tc>
                <w:tcPr>
                  <w:tcW w:type="dxa" w:w="27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数量（项）</w:t>
                  </w:r>
                </w:p>
              </w:tc>
            </w:tr>
            <w:tr>
              <w:tc>
                <w:tcPr>
                  <w:tcW w:type="dxa" w:w="214"/>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演练设计策划</w:t>
                  </w:r>
                </w:p>
              </w:tc>
              <w:tc>
                <w:tcPr>
                  <w:tcW w:type="dxa" w:w="13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踏勘现场、演练方案文件设计编制过程人员咨询策划服务费用，用时</w:t>
                  </w:r>
                  <w:r>
                    <w:rPr>
                      <w:rFonts w:ascii="仿宋_GB2312" w:hAnsi="仿宋_GB2312" w:cs="仿宋_GB2312" w:eastAsia="仿宋_GB2312"/>
                      <w:sz w:val="21"/>
                    </w:rPr>
                    <w:t>15个工作日。</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21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导调实施</w:t>
                  </w:r>
                </w:p>
              </w:tc>
              <w:tc>
                <w:tcPr>
                  <w:tcW w:type="dxa" w:w="13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总导调、导播、导播助理、进程控制人员、解说员、场务人员、大屏控制、音响师、电工等人员工时费，保障</w:t>
                  </w:r>
                  <w:r>
                    <w:rPr>
                      <w:rFonts w:ascii="仿宋_GB2312" w:hAnsi="仿宋_GB2312" w:cs="仿宋_GB2312" w:eastAsia="仿宋_GB2312"/>
                      <w:sz w:val="21"/>
                    </w:rPr>
                    <w:t>4个工作日。</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情景构建视频制作</w:t>
                  </w:r>
                </w:p>
              </w:tc>
              <w:tc>
                <w:tcPr>
                  <w:tcW w:type="dxa" w:w="13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演练情景构建、部分演练场景纪实拍摄、编辑制作人员工时费，拍摄</w:t>
                  </w:r>
                  <w:r>
                    <w:rPr>
                      <w:rFonts w:ascii="仿宋_GB2312" w:hAnsi="仿宋_GB2312" w:cs="仿宋_GB2312" w:eastAsia="仿宋_GB2312"/>
                      <w:sz w:val="21"/>
                    </w:rPr>
                    <w:t>6个工作日。</w:t>
                  </w:r>
                </w:p>
              </w:tc>
              <w:tc>
                <w:tcPr>
                  <w:tcW w:type="dxa" w:w="278"/>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214"/>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摄录实施</w:t>
                  </w:r>
                </w:p>
              </w:tc>
              <w:tc>
                <w:tcPr>
                  <w:tcW w:type="dxa" w:w="13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摄像师（</w:t>
                  </w:r>
                  <w:r>
                    <w:rPr>
                      <w:rFonts w:ascii="仿宋_GB2312" w:hAnsi="仿宋_GB2312" w:cs="仿宋_GB2312" w:eastAsia="仿宋_GB2312"/>
                      <w:sz w:val="21"/>
                    </w:rPr>
                    <w:t>14人）航拍师（2人）摄影师（1人）等人员，拍摄4个工作日</w:t>
                  </w:r>
                </w:p>
              </w:tc>
              <w:tc>
                <w:tcPr>
                  <w:tcW w:type="dxa" w:w="27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214"/>
                  <w:vMerge w:val="restart"/>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665"/>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演练全程视频制作</w:t>
                  </w:r>
                </w:p>
              </w:tc>
              <w:tc>
                <w:tcPr>
                  <w:tcW w:type="dxa" w:w="13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视频总体设计、编导材料、配音材料文本创作</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214"/>
                  <w:vMerge/>
                  <w:tcBorders>
                    <w:top w:val="single" w:color="000000" w:sz="4"/>
                    <w:left w:val="single" w:color="000000" w:sz="4"/>
                    <w:bottom w:val="none" w:color="000000" w:sz="4"/>
                    <w:right w:val="single" w:color="000000" w:sz="4"/>
                  </w:tcBorders>
                </w:tcPr>
                <w:p/>
              </w:tc>
              <w:tc>
                <w:tcPr>
                  <w:tcW w:type="dxa" w:w="665"/>
                  <w:vMerge/>
                  <w:tcBorders>
                    <w:top w:val="none" w:color="000000" w:sz="4"/>
                    <w:left w:val="none" w:color="000000" w:sz="4"/>
                    <w:bottom w:val="none" w:color="000000" w:sz="4"/>
                    <w:right w:val="single" w:color="000000" w:sz="4"/>
                  </w:tcBorders>
                </w:tcPr>
                <w:p/>
              </w:tc>
              <w:tc>
                <w:tcPr>
                  <w:tcW w:type="dxa" w:w="13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演练视频剪辑配音包装</w:t>
                  </w:r>
                  <w:r>
                    <w:rPr>
                      <w:rFonts w:ascii="仿宋_GB2312" w:hAnsi="仿宋_GB2312" w:cs="仿宋_GB2312" w:eastAsia="仿宋_GB2312"/>
                      <w:sz w:val="21"/>
                    </w:rPr>
                    <w:t>剪辑师、助理人员工时费</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214"/>
                  <w:vMerge/>
                  <w:tcBorders>
                    <w:top w:val="single" w:color="000000" w:sz="4"/>
                    <w:left w:val="single" w:color="000000" w:sz="4"/>
                    <w:bottom w:val="none" w:color="000000" w:sz="4"/>
                    <w:right w:val="single" w:color="000000" w:sz="4"/>
                  </w:tcBorders>
                </w:tcPr>
                <w:p/>
              </w:tc>
              <w:tc>
                <w:tcPr>
                  <w:tcW w:type="dxa" w:w="665"/>
                  <w:vMerge/>
                  <w:tcBorders>
                    <w:top w:val="none" w:color="000000" w:sz="4"/>
                    <w:left w:val="none" w:color="000000" w:sz="4"/>
                    <w:bottom w:val="none" w:color="000000" w:sz="4"/>
                    <w:right w:val="single" w:color="000000" w:sz="4"/>
                  </w:tcBorders>
                </w:tcPr>
                <w:p/>
              </w:tc>
              <w:tc>
                <w:tcPr>
                  <w:tcW w:type="dxa" w:w="13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资料册、光盘、</w:t>
                  </w:r>
                  <w:r>
                    <w:rPr>
                      <w:rFonts w:ascii="仿宋_GB2312" w:hAnsi="仿宋_GB2312" w:cs="仿宋_GB2312" w:eastAsia="仿宋_GB2312"/>
                      <w:sz w:val="21"/>
                    </w:rPr>
                    <w:t>设计制作费</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传输设备租赁</w:t>
                  </w:r>
                </w:p>
              </w:tc>
              <w:tc>
                <w:tcPr>
                  <w:tcW w:type="dxa" w:w="13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多场地音视频采集、远程传输、视频切换、音视频展示等，保障</w:t>
                  </w:r>
                  <w:r>
                    <w:rPr>
                      <w:rFonts w:ascii="仿宋_GB2312" w:hAnsi="仿宋_GB2312" w:cs="仿宋_GB2312" w:eastAsia="仿宋_GB2312"/>
                      <w:sz w:val="24"/>
                    </w:rPr>
                    <w:t>4天</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其他</w:t>
                  </w:r>
                </w:p>
              </w:tc>
              <w:tc>
                <w:tcPr>
                  <w:tcW w:type="dxa" w:w="13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观摩现场场地平整和恢复费用</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bl>
          <w:p>
            <w:pPr>
              <w:pStyle w:val="null3"/>
              <w:ind w:firstLine="420"/>
              <w:jc w:val="both"/>
            </w:pPr>
            <w:r>
              <w:rPr>
                <w:rFonts w:ascii="仿宋_GB2312" w:hAnsi="仿宋_GB2312" w:cs="仿宋_GB2312" w:eastAsia="仿宋_GB2312"/>
              </w:rPr>
              <w:t xml:space="preserve"> </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签订合同后，20日内中标单位按照省生态环境厅要求完成突发环境事件应急演练实施工作。</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详见采购文件及合同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项目完成后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乙双方均应全面履行本合同，任何一方不履行或不按约定履行均构成违约，违约方应赔偿因此给对方造成的全部损失。因履行合同所发生的一切争议，双方应友好协商解决，协商不成的，提交陕西仲裁委员会仲裁，仲裁裁决为终局裁决。</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供应商需要在线提交所有通过电子化交易平台实施的政府采购项目的响应文件，同时，线下提交纸质响应文件贰份；若电子响应文件与纸质响应文件不一致的，以电子响应文件为准；响应文件装订成册密封（在书脊处标明项目名称、供应商名称（机打或手写均可），逐页标注连页码），在封口处加盖供应商公章；纸质响应文件递交截止时间与线上开评标时间一致；纸质响应文件可邮寄递交，应于递交响应文件截止时间前邮寄到代理机构。</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提供企业营业执照/事业单位法人证书/专业服务机构执业许可证/民办非企业单位登记证书。</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报告（成立时间至提交响应文件截止时间不足一年的可提供成立后任意时段的资产负债表），或其递交响应文件截止之日前三个月内基本开户银行出具的资信证明，或信用担保机构出具的投标担保函（以上三种形式的资料提供任何一种即可）。事业单位法人参与磋商可不提供财务状况报告。</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提供书面声明，包括声明具有履行合同所必需的设备和专业技术能力；未为本项目提供整体设计、规范编制或者项目管理、监理、检测等服务。</w:t>
            </w:r>
          </w:p>
        </w:tc>
        <w:tc>
          <w:tcPr>
            <w:tcW w:type="dxa" w:w="1661"/>
          </w:tcPr>
          <w:p>
            <w:pPr>
              <w:pStyle w:val="null3"/>
            </w:pPr>
            <w:r>
              <w:rPr>
                <w:rFonts w:ascii="仿宋_GB2312" w:hAnsi="仿宋_GB2312" w:cs="仿宋_GB2312" w:eastAsia="仿宋_GB2312"/>
              </w:rPr>
              <w:t>书面声明</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递交响应文件截止之日前一年内任意一个月的社会保障资金缴存单据或社保机构开具的社会保险参保缴费情况证明。依法不需要缴纳社会保障资金的供应商应提供相关文件证明。事业单位法人参与磋商可不提供社会保障资金缴纳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递交响应文件截止之日前一年内任意一个月的依法缴纳税收的相关凭据，凭据应有税务机关或代收机关的公章或业务专用章。依法免税或无须缴纳税收的供应商，应提供相应证明文件。事业单位法人参与磋商可不提供税收缴纳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近三年无重大违法、违纪书面声明</w:t>
            </w:r>
          </w:p>
        </w:tc>
        <w:tc>
          <w:tcPr>
            <w:tcW w:type="dxa" w:w="3322"/>
          </w:tcPr>
          <w:p>
            <w:pPr>
              <w:pStyle w:val="null3"/>
            </w:pPr>
            <w:r>
              <w:rPr>
                <w:rFonts w:ascii="仿宋_GB2312" w:hAnsi="仿宋_GB2312" w:cs="仿宋_GB2312" w:eastAsia="仿宋_GB2312"/>
              </w:rPr>
              <w:t>提供《近三年无重大违法、违纪书面声明》。</w:t>
            </w:r>
          </w:p>
        </w:tc>
        <w:tc>
          <w:tcPr>
            <w:tcW w:type="dxa" w:w="1661"/>
          </w:tcPr>
          <w:p>
            <w:pPr>
              <w:pStyle w:val="null3"/>
            </w:pPr>
            <w:r>
              <w:rPr>
                <w:rFonts w:ascii="仿宋_GB2312" w:hAnsi="仿宋_GB2312" w:cs="仿宋_GB2312" w:eastAsia="仿宋_GB2312"/>
              </w:rPr>
              <w:t>近三年无重大违法、违纪书面声明</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列入“信用中国”网站记录的“失信被执行人”或“重大税收违法案件当事人”名单；不处于“中国政府采购网”记录的“政府采购严重违法失信行为记录名单”中的禁止参加政府采购活动期间。（以采购人或采购代理机构开标当天查询结果为准）</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提供直接控股和管理关系清单。若与其他供应商存在单位负责人为同一人或者存在直接控股、管理关系的，则响应无效。</w:t>
            </w:r>
          </w:p>
        </w:tc>
        <w:tc>
          <w:tcPr>
            <w:tcW w:type="dxa" w:w="1661"/>
          </w:tcPr>
          <w:p>
            <w:pPr>
              <w:pStyle w:val="null3"/>
            </w:pPr>
            <w:r>
              <w:rPr>
                <w:rFonts w:ascii="仿宋_GB2312" w:hAnsi="仿宋_GB2312" w:cs="仿宋_GB2312" w:eastAsia="仿宋_GB2312"/>
              </w:rPr>
              <w:t>控股管理关系</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磋商的，须提供本人身份证复印件（附在响应文件中）；法定代表人授权他人参加磋商的，须提供法定代表人授权委托书；联合体磋商的，须提供联合体牵头人法定代表人身份证明和法定代表人授权委托书。磋商文件中凡是需要法定代表人盖章之处，非法人单位的负责人均参照执行。 法人的分支机构参与磋商时，除提供法定代表人授权委托书、法定代表人身份证明或联合体授权委托书外，还须同时提供法人给分支机构出具的授权书。</w:t>
            </w:r>
          </w:p>
        </w:tc>
        <w:tc>
          <w:tcPr>
            <w:tcW w:type="dxa" w:w="1661"/>
          </w:tcPr>
          <w:p>
            <w:pPr>
              <w:pStyle w:val="null3"/>
            </w:pPr>
            <w:r>
              <w:rPr>
                <w:rFonts w:ascii="仿宋_GB2312" w:hAnsi="仿宋_GB2312" w:cs="仿宋_GB2312" w:eastAsia="仿宋_GB2312"/>
              </w:rPr>
              <w:t>法定代表人授权书、联合体授权委托书</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联合体协议</w:t>
            </w:r>
          </w:p>
        </w:tc>
        <w:tc>
          <w:tcPr>
            <w:tcW w:type="dxa" w:w="3322"/>
          </w:tcPr>
          <w:p>
            <w:pPr>
              <w:pStyle w:val="null3"/>
            </w:pPr>
            <w:r>
              <w:rPr>
                <w:rFonts w:ascii="仿宋_GB2312" w:hAnsi="仿宋_GB2312" w:cs="仿宋_GB2312" w:eastAsia="仿宋_GB2312"/>
              </w:rPr>
              <w:t>本项目接受联合体磋商（以联合体参加磋商的，应满足下列要求：联合体提出磋商申请的，联合体各方应分别具备相应的资格条件，联合体成员不超过两家，并提交联合体协议）。</w:t>
            </w:r>
          </w:p>
        </w:tc>
        <w:tc>
          <w:tcPr>
            <w:tcW w:type="dxa" w:w="1661"/>
          </w:tcPr>
          <w:p>
            <w:pPr>
              <w:pStyle w:val="null3"/>
            </w:pPr>
            <w:r>
              <w:rPr>
                <w:rFonts w:ascii="仿宋_GB2312" w:hAnsi="仿宋_GB2312" w:cs="仿宋_GB2312" w:eastAsia="仿宋_GB2312"/>
              </w:rPr>
              <w:t>联合体协议书</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响应文件语言及有效期</w:t>
            </w:r>
          </w:p>
        </w:tc>
        <w:tc>
          <w:tcPr>
            <w:tcW w:type="dxa" w:w="3322"/>
          </w:tcPr>
          <w:p>
            <w:pPr>
              <w:pStyle w:val="null3"/>
            </w:pPr>
            <w:r>
              <w:rPr>
                <w:rFonts w:ascii="仿宋_GB2312" w:hAnsi="仿宋_GB2312" w:cs="仿宋_GB2312" w:eastAsia="仿宋_GB2312"/>
              </w:rPr>
              <w:t>响应文件语言及有效期符合磋商文件要求。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响应文件封面、响应函、法定代表人（负责人）授权委托书三处的项目名称、项目编号、标段（如有）</w:t>
            </w:r>
          </w:p>
        </w:tc>
        <w:tc>
          <w:tcPr>
            <w:tcW w:type="dxa" w:w="3322"/>
          </w:tcPr>
          <w:p>
            <w:pPr>
              <w:pStyle w:val="null3"/>
            </w:pPr>
            <w:r>
              <w:rPr>
                <w:rFonts w:ascii="仿宋_GB2312" w:hAnsi="仿宋_GB2312" w:cs="仿宋_GB2312" w:eastAsia="仿宋_GB2312"/>
              </w:rPr>
              <w:t>三处均无遗漏，且与所投项目名称、项目编号、标段（如有）一致。</w:t>
            </w:r>
          </w:p>
        </w:tc>
        <w:tc>
          <w:tcPr>
            <w:tcW w:type="dxa" w:w="1661"/>
          </w:tcPr>
          <w:p>
            <w:pPr>
              <w:pStyle w:val="null3"/>
            </w:pPr>
            <w:r>
              <w:rPr>
                <w:rFonts w:ascii="仿宋_GB2312" w:hAnsi="仿宋_GB2312" w:cs="仿宋_GB2312" w:eastAsia="仿宋_GB2312"/>
              </w:rPr>
              <w:t>响应文件封面 法定代表人授权书、联合体授权委托书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均按磋商文件要求签字、盖章（评分标准中要求提供的证明材料除外）。</w:t>
            </w:r>
          </w:p>
        </w:tc>
        <w:tc>
          <w:tcPr>
            <w:tcW w:type="dxa" w:w="1661"/>
          </w:tcPr>
          <w:p>
            <w:pPr>
              <w:pStyle w:val="null3"/>
            </w:pPr>
            <w:r>
              <w:rPr>
                <w:rFonts w:ascii="仿宋_GB2312" w:hAnsi="仿宋_GB2312" w:cs="仿宋_GB2312" w:eastAsia="仿宋_GB2312"/>
              </w:rPr>
              <w:t>服务内容及服务邀请应答表 法定代表人授权书、联合体授权委托书 分项报价表 中小企业声明函 商务应答表 法定代表人身份证明 供应商应提交的相关资格证明材料 保证金汇款声明函、保函 报价表 控股管理关系 联合体协议书 近三年无重大违法、违纪书面声明 响应文件封面 残疾人福利性单位声明函 服务方案 标的清单 响应函 书面声明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响应报价表</w:t>
            </w:r>
          </w:p>
        </w:tc>
        <w:tc>
          <w:tcPr>
            <w:tcW w:type="dxa" w:w="3322"/>
          </w:tcPr>
          <w:p>
            <w:pPr>
              <w:pStyle w:val="null3"/>
            </w:pPr>
            <w:r>
              <w:rPr>
                <w:rFonts w:ascii="仿宋_GB2312" w:hAnsi="仿宋_GB2312" w:cs="仿宋_GB2312" w:eastAsia="仿宋_GB2312"/>
              </w:rPr>
              <w:t>（1）响应报价符合唯一性要求： （2）响应报价表填写符合要求； （3）计量单位、报价货币均符合磋商文件要求； （4）未超出采购预算或磋商文件规定的最高限价。</w:t>
            </w:r>
          </w:p>
        </w:tc>
        <w:tc>
          <w:tcPr>
            <w:tcW w:type="dxa" w:w="1661"/>
          </w:tcPr>
          <w:p>
            <w:pPr>
              <w:pStyle w:val="null3"/>
            </w:pPr>
            <w:r>
              <w:rPr>
                <w:rFonts w:ascii="仿宋_GB2312" w:hAnsi="仿宋_GB2312" w:cs="仿宋_GB2312" w:eastAsia="仿宋_GB2312"/>
              </w:rPr>
              <w:t>分项报价表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商务条款响应</w:t>
            </w:r>
          </w:p>
        </w:tc>
        <w:tc>
          <w:tcPr>
            <w:tcW w:type="dxa" w:w="3322"/>
          </w:tcPr>
          <w:p>
            <w:pPr>
              <w:pStyle w:val="null3"/>
            </w:pPr>
            <w:r>
              <w:rPr>
                <w:rFonts w:ascii="仿宋_GB2312" w:hAnsi="仿宋_GB2312" w:cs="仿宋_GB2312" w:eastAsia="仿宋_GB2312"/>
              </w:rPr>
              <w:t>完全理解接受并签署磋商文件商务条款响应表。</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磋商保证金</w:t>
            </w:r>
          </w:p>
        </w:tc>
        <w:tc>
          <w:tcPr>
            <w:tcW w:type="dxa" w:w="3322"/>
          </w:tcPr>
          <w:p>
            <w:pPr>
              <w:pStyle w:val="null3"/>
            </w:pPr>
            <w:r>
              <w:rPr>
                <w:rFonts w:ascii="仿宋_GB2312" w:hAnsi="仿宋_GB2312" w:cs="仿宋_GB2312" w:eastAsia="仿宋_GB2312"/>
              </w:rPr>
              <w:t>保证金交纳符合磋商文件要求。</w:t>
            </w:r>
          </w:p>
        </w:tc>
        <w:tc>
          <w:tcPr>
            <w:tcW w:type="dxa" w:w="1661"/>
          </w:tcPr>
          <w:p>
            <w:pPr>
              <w:pStyle w:val="null3"/>
            </w:pPr>
            <w:r>
              <w:rPr>
                <w:rFonts w:ascii="仿宋_GB2312" w:hAnsi="仿宋_GB2312" w:cs="仿宋_GB2312" w:eastAsia="仿宋_GB2312"/>
              </w:rPr>
              <w:t>保证金汇款声明函、保函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无其他磋商文件或法规明确规定响应无效的事项</w:t>
            </w:r>
          </w:p>
        </w:tc>
        <w:tc>
          <w:tcPr>
            <w:tcW w:type="dxa" w:w="3322"/>
          </w:tcPr>
          <w:p>
            <w:pPr>
              <w:pStyle w:val="null3"/>
            </w:pPr>
            <w:r>
              <w:rPr>
                <w:rFonts w:ascii="仿宋_GB2312" w:hAnsi="仿宋_GB2312" w:cs="仿宋_GB2312" w:eastAsia="仿宋_GB2312"/>
              </w:rPr>
              <w:t>没有不符合磋商文件规定的被视为无效响应的其他条款。</w:t>
            </w:r>
          </w:p>
        </w:tc>
        <w:tc>
          <w:tcPr>
            <w:tcW w:type="dxa" w:w="1661"/>
          </w:tcPr>
          <w:p>
            <w:pPr>
              <w:pStyle w:val="null3"/>
            </w:pPr>
            <w:r>
              <w:rPr>
                <w:rFonts w:ascii="仿宋_GB2312" w:hAnsi="仿宋_GB2312" w:cs="仿宋_GB2312" w:eastAsia="仿宋_GB2312"/>
              </w:rPr>
              <w:t>服务内容及服务邀请应答表 法定代表人授权书、联合体授权委托书 分项报价表 中小企业声明函 商务应答表 法定代表人身份证明 供应商应提交的相关资格证明材料 保证金汇款声明函、保函 报价表 控股管理关系 联合体协议书 近三年无重大违法、违纪书面声明 响应文件封面 残疾人福利性单位声明函 服务方案 标的清单 响应函 书面声明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对项目的理解程度</w:t>
            </w:r>
          </w:p>
        </w:tc>
        <w:tc>
          <w:tcPr>
            <w:tcW w:type="dxa" w:w="2492"/>
          </w:tcPr>
          <w:p>
            <w:pPr>
              <w:pStyle w:val="null3"/>
            </w:pPr>
            <w:r>
              <w:rPr>
                <w:rFonts w:ascii="仿宋_GB2312" w:hAnsi="仿宋_GB2312" w:cs="仿宋_GB2312" w:eastAsia="仿宋_GB2312"/>
              </w:rPr>
              <w:t>评审标准：熟悉应急事件处置的流程和工作内容，对项目需求理解深刻，对影响因素梳理全面，根据详细程度计分。1.策划方案内容详细，应对响应要求具体，文案表述清晰，能较好实现项目目标，计4分；2.策划方案内容详细，能应对响应要求具体，文案表述基本清晰，计2分；3.策划方案内容不详细，文案表述欠缺，计1分，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对项目重难点分析</w:t>
            </w:r>
          </w:p>
        </w:tc>
        <w:tc>
          <w:tcPr>
            <w:tcW w:type="dxa" w:w="2492"/>
          </w:tcPr>
          <w:p>
            <w:pPr>
              <w:pStyle w:val="null3"/>
            </w:pPr>
            <w:r>
              <w:rPr>
                <w:rFonts w:ascii="仿宋_GB2312" w:hAnsi="仿宋_GB2312" w:cs="仿宋_GB2312" w:eastAsia="仿宋_GB2312"/>
              </w:rPr>
              <w:t>评审标准：对项目重点、难点认识准确，描述清晰，能对重点难点提出针对性的工作思路，工作思路清晰，根据响应程度计分。1.重难点分析内容详细，文案表述清晰，计4分。2.重难点分析内容详细，文案表述基本清晰，计2分，3.重难点分析内容不详细，文案表述欠缺，计1分，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演练方案</w:t>
            </w:r>
          </w:p>
        </w:tc>
        <w:tc>
          <w:tcPr>
            <w:tcW w:type="dxa" w:w="2492"/>
          </w:tcPr>
          <w:p>
            <w:pPr>
              <w:pStyle w:val="null3"/>
            </w:pPr>
            <w:r>
              <w:rPr>
                <w:rFonts w:ascii="仿宋_GB2312" w:hAnsi="仿宋_GB2312" w:cs="仿宋_GB2312" w:eastAsia="仿宋_GB2312"/>
              </w:rPr>
              <w:t>供应商需根据国家和行业最新标准和规范、采购需求、自身经验编制重大敏感突发环境事件演练方案，方案包括但不限于演练设计策划、实施方案（包括但不限于导调、场景构建、现场摄录、解说、转播、视频制作等）、应急预案。 1.演练设计策划：（8分） （1）演练方案内容详细， 场景设计完整，应对响应要求具体，文案表述清晰，能较好实现项目目标，计8分。 （2）演练方案内容相对详细，有基本的场景设计和应对响应要求，基本能实现项目目标，具有一定的针对性可行性，计4分。（3）内容空洞或属于照搬照抄，针对性差，计2分，未提供不得分。2.实施方案：（8分） （1）方案内容详细、实施链条完整、人员配置和设备投入明确，各环节措施具体、可行性强，能较好的实现项目目标，计8分。（2）方案内容相对详细，实施链条基本完整，有相应的人员配置和设备投入，各环节措施有一定的可行性，基本能实现项目目标，计4分。（3）内容空洞或属于照搬照抄，针对性差，计2分，未提供不得分。3.应急预案：（6分）供应商应根据策划方案和自身经验编写演练期间的应急预案。（1）预案全面，应急机制健全，处置响应迅速，措施具体，可行性强，计6分。（2）预案相对全面，有相应的应急机制和磋措施，具有一定的可行性，计3分。（3）内容空洞或属于照搬照抄，针对性差，计1分，未提供不得分。</w:t>
            </w:r>
          </w:p>
        </w:tc>
        <w:tc>
          <w:tcPr>
            <w:tcW w:type="dxa" w:w="831"/>
          </w:tcPr>
          <w:p>
            <w:pPr>
              <w:pStyle w:val="null3"/>
              <w:jc w:val="right"/>
            </w:pPr>
            <w:r>
              <w:rPr>
                <w:rFonts w:ascii="仿宋_GB2312" w:hAnsi="仿宋_GB2312" w:cs="仿宋_GB2312" w:eastAsia="仿宋_GB2312"/>
              </w:rPr>
              <w:t>22.0000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项目团队</w:t>
            </w:r>
          </w:p>
        </w:tc>
        <w:tc>
          <w:tcPr>
            <w:tcW w:type="dxa" w:w="2492"/>
          </w:tcPr>
          <w:p>
            <w:pPr>
              <w:pStyle w:val="null3"/>
            </w:pPr>
            <w:r>
              <w:rPr>
                <w:rFonts w:ascii="仿宋_GB2312" w:hAnsi="仿宋_GB2312" w:cs="仿宋_GB2312" w:eastAsia="仿宋_GB2312"/>
              </w:rPr>
              <w:t>1.项目负责人/组长（5分）（1）具有环境类正高级以上职称得3分。（2）具有环境应急处置相关工作经历得2分。注：①需提供身份证、职称证、磋商截止时间前六个月内任意三个月本单位为其缴纳社保的凭证或用工合同。②环境应急处置相关工作经历需提供相关证明材料。2.项目组成员（15分）项目组成员至少5人（项目负责人/组长除外，满足5人及以上，得5分；不足5人不得分），具备中级职称，或硕士以上学历/学位，每提供1人得1分，最多得5分；其中具备高级以上职称的，每人加1分，最高加5分。注：需提供人员身份证、学历/学位证书、职称证，同一人不可重复得分。（联合体投标的，项目技术负责人/组长须为牵头单位人员才可计分，项目组成员可为联合体成员任意一方人员。）</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综合实力</w:t>
            </w:r>
          </w:p>
        </w:tc>
        <w:tc>
          <w:tcPr>
            <w:tcW w:type="dxa" w:w="2492"/>
          </w:tcPr>
          <w:p>
            <w:pPr>
              <w:pStyle w:val="null3"/>
            </w:pPr>
            <w:r>
              <w:rPr>
                <w:rFonts w:ascii="仿宋_GB2312" w:hAnsi="仿宋_GB2312" w:cs="仿宋_GB2312" w:eastAsia="仿宋_GB2312"/>
              </w:rPr>
              <w:t>提供2020年至今所获得环境相关科学技术奖项情况为依据，每个奖项得2分，满分12分。（须提扫描件并加盖供应商公章）。（联合体投标的，联合体成员任意一方的证明材料均可计分。）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根据供应商提供的质量保证措施方案，由磋商小组进行评分。1.提供的质量保证措施符合磋商文件要求，相关工作基础，质量保障措施，质量保障期限等全面详实的，得18分；2.提供的质量保证措施较符合磋商文件要求，相关工作基础，过程管理、质量保障措施，质量保障期限等较全面的，得9分；3.提供的质量保证措施符合磋商文件要求，但相关工作基础，过程管理、质量保障措施，质量保障期限等一般的得3分；未提供或未说明的本项不得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1）提供2023年至今完成的同类业绩合同，包含首页、金额页、签章页等，业绩以合同为依据，每提供一个计2分，满分6分。（须提供合同复印件并加盖供应商公章）。（联合体投标的，联合体成员任意一方的证明材料均可计分。） （2）提供2023年至今具有相关主管部门组织的同类应急处置经验，每提供1个应急处置证明文件的得1分，满分4分。（需提供相关单位出具的证明文件并加盖供应商公章）（联合体投标的，该证明材料须为牵头单位人员才可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价格分统一采用低价优先法计算，即满足磋商文件要求且最低的响应报价为基准价，其价格分为满分。其他供应商的价格分统一按照下列公式计算： 响应报价得分=(基准价／响应报价)×价格权值×100 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r>
        <w:tc>
          <w:tcPr>
            <w:tcW w:type="dxa" w:w="831"/>
          </w:tcPr>
          <w:p>
            <w:pPr>
              <w:pStyle w:val="null3"/>
            </w:pPr>
            <w:r>
              <w:rPr>
                <w:rFonts w:ascii="仿宋_GB2312" w:hAnsi="仿宋_GB2312" w:cs="仿宋_GB2312" w:eastAsia="仿宋_GB2312"/>
              </w:rPr>
              <w:t>2</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联合协议或者分包意向协议约定小型、微型企业的合同份额占到合同总金额30%以上</w:t>
            </w:r>
          </w:p>
        </w:tc>
        <w:tc>
          <w:tcPr>
            <w:tcW w:type="dxa" w:w="831"/>
          </w:tcPr>
          <w:p>
            <w:pPr>
              <w:pStyle w:val="null3"/>
              <w:jc w:val="right"/>
            </w:pPr>
            <w:r>
              <w:rPr>
                <w:rFonts w:ascii="仿宋_GB2312" w:hAnsi="仿宋_GB2312" w:cs="仿宋_GB2312" w:eastAsia="仿宋_GB2312"/>
              </w:rPr>
              <w:t>4.00%</w:t>
            </w:r>
          </w:p>
        </w:tc>
        <w:tc>
          <w:tcPr>
            <w:tcW w:type="dxa" w:w="1661"/>
          </w:tcPr>
          <w:p>
            <w:pPr>
              <w:pStyle w:val="null3"/>
            </w:pPr>
            <w:r>
              <w:rPr>
                <w:rFonts w:ascii="仿宋_GB2312" w:hAnsi="仿宋_GB2312" w:cs="仿宋_GB2312" w:eastAsia="仿宋_GB2312"/>
              </w:rPr>
              <w:t>1、接受大中型企业与小微企业组成联合体的采购项目，对联合协议约定小微企业的合同份额占到合同总金额30%以上的，对联合体的报价给予C1的扣除，用扣除后的价格参加评审。2、允许大中型企业向一家或者多家小微企业分包的采购项目，对于分包意向协议约定小微企业的合同份额占到合同总金额30%以上的，对大中型企业的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详见附件：保证金汇款声明函、保函</w:t>
      </w:r>
    </w:p>
    <w:p>
      <w:pPr>
        <w:pStyle w:val="null3"/>
        <w:ind w:firstLine="960"/>
      </w:pPr>
      <w:r>
        <w:rPr>
          <w:rFonts w:ascii="仿宋_GB2312" w:hAnsi="仿宋_GB2312" w:cs="仿宋_GB2312" w:eastAsia="仿宋_GB2312"/>
        </w:rPr>
        <w:t>详见附件：法定代表人身份证明</w:t>
      </w:r>
    </w:p>
    <w:p>
      <w:pPr>
        <w:pStyle w:val="null3"/>
        <w:ind w:firstLine="960"/>
      </w:pPr>
      <w:r>
        <w:rPr>
          <w:rFonts w:ascii="仿宋_GB2312" w:hAnsi="仿宋_GB2312" w:cs="仿宋_GB2312" w:eastAsia="仿宋_GB2312"/>
        </w:rPr>
        <w:t>详见附件：法定代表人授权书、联合体授权委托书</w:t>
      </w:r>
    </w:p>
    <w:p>
      <w:pPr>
        <w:pStyle w:val="null3"/>
        <w:ind w:firstLine="960"/>
      </w:pPr>
      <w:r>
        <w:rPr>
          <w:rFonts w:ascii="仿宋_GB2312" w:hAnsi="仿宋_GB2312" w:cs="仿宋_GB2312" w:eastAsia="仿宋_GB2312"/>
        </w:rPr>
        <w:t>详见附件：分项报价表</w:t>
      </w:r>
    </w:p>
    <w:p>
      <w:pPr>
        <w:pStyle w:val="null3"/>
        <w:ind w:firstLine="960"/>
      </w:pPr>
      <w:r>
        <w:rPr>
          <w:rFonts w:ascii="仿宋_GB2312" w:hAnsi="仿宋_GB2312" w:cs="仿宋_GB2312" w:eastAsia="仿宋_GB2312"/>
        </w:rPr>
        <w:t>详见附件：近三年无重大违法、违纪书面声明</w:t>
      </w:r>
    </w:p>
    <w:p>
      <w:pPr>
        <w:pStyle w:val="null3"/>
        <w:ind w:firstLine="960"/>
      </w:pPr>
      <w:r>
        <w:rPr>
          <w:rFonts w:ascii="仿宋_GB2312" w:hAnsi="仿宋_GB2312" w:cs="仿宋_GB2312" w:eastAsia="仿宋_GB2312"/>
        </w:rPr>
        <w:t>详见附件：控股管理关系</w:t>
      </w:r>
    </w:p>
    <w:p>
      <w:pPr>
        <w:pStyle w:val="null3"/>
        <w:ind w:firstLine="960"/>
      </w:pPr>
      <w:r>
        <w:rPr>
          <w:rFonts w:ascii="仿宋_GB2312" w:hAnsi="仿宋_GB2312" w:cs="仿宋_GB2312" w:eastAsia="仿宋_GB2312"/>
        </w:rPr>
        <w:t>详见附件：联合体协议书</w:t>
      </w:r>
    </w:p>
    <w:p>
      <w:pPr>
        <w:pStyle w:val="null3"/>
        <w:ind w:firstLine="960"/>
      </w:pPr>
      <w:r>
        <w:rPr>
          <w:rFonts w:ascii="仿宋_GB2312" w:hAnsi="仿宋_GB2312" w:cs="仿宋_GB2312" w:eastAsia="仿宋_GB2312"/>
        </w:rPr>
        <w:t>详见附件：书面声明</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