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版本号：DQB-2025095-ZB20251119001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新建城市城区固定监测站一期(C包）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DQB-2025095-ZB</w:t>
      </w:r>
      <w:r>
        <w:br/>
      </w:r>
      <w:r>
        <w:br/>
      </w:r>
      <w:r>
        <w:br/>
      </w:r>
    </w:p>
    <w:p>
      <w:pPr>
        <w:pStyle w:val="null3"/>
        <w:jc w:val="center"/>
        <w:outlineLvl w:val="2"/>
      </w:pPr>
      <w:r>
        <w:rPr>
          <w:rFonts w:ascii="仿宋_GB2312" w:hAnsi="仿宋_GB2312" w:cs="仿宋_GB2312" w:eastAsia="仿宋_GB2312"/>
          <w:sz w:val="28"/>
          <w:b/>
        </w:rPr>
        <w:t>陕西省无线电管理委员会机关</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陕西省无线电管理委员会机关</w:t>
      </w:r>
      <w:r>
        <w:rPr>
          <w:rFonts w:ascii="仿宋_GB2312" w:hAnsi="仿宋_GB2312" w:cs="仿宋_GB2312" w:eastAsia="仿宋_GB2312"/>
        </w:rPr>
        <w:t>委托，拟对</w:t>
      </w:r>
      <w:r>
        <w:rPr>
          <w:rFonts w:ascii="仿宋_GB2312" w:hAnsi="仿宋_GB2312" w:cs="仿宋_GB2312" w:eastAsia="仿宋_GB2312"/>
        </w:rPr>
        <w:t>新建城市城区固定监测站一期(C包）</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DQB-2025095-ZB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新建城市城区固定监测站一期(C包）</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省级无线电管理“十四五”规划技术设施建设指导意见》中提到“加强固定监测设施覆盖监测补盲”“监测覆盖率小于90%的城市区域，适度增加监测覆盖能力”。近年来，随着各类通信技术的高速发展，使得区域内设置使用台站的用户数量迅速增加，频率资源紧张、电磁环境恶化，电磁干扰时有发生，加之各类高大建筑物的兴建，城市中心城区无线电监测盲区呈扩大趋势。同时，在各种社会利益矛盾相互交织下，“黑广播”、“伪基站”等非法用频、违规设台行为时有发生，非法台站设备生产技术门槛逐步降低，并向微型化、便携化、隐蔽化发展。为更好地适应新时期下非法台站查处、无线电安全保障任务等工作需要，亟需补充建设一批监测技术设施，以加强陕西省电磁环境实时监控力度，提升无线电监管能力。 为有效提升全省城市区域无线电监测能力和覆盖范围，有效应对日益增长的无线电管理需求，掌握全省电磁环境情况，更好地服务经济社会发展，陕西省无线电管理委员会办公室拟在商洛市建设一座二类固定监测站。</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陕西省无线电管理委员会机关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省政府新城大院四号楼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029-88360536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丈八一路 1 号汇鑫中心 D 座 2206 室陕西德勤招标有限公司</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李浩、姜仕路、李维婧、李寅辰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银行账号：52880188000146333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代理服务费收费标准：成交金额100万元以下，费率1.5%，成交金额100～500万元，费率1.1%，采购代理服务费收费按差额定率累进法计算。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陕西省无线电管理委员会机关</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陕西省无线电管理委员会机关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陕西省无线电管理委员会机关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联系人：李浩、姜仕路、李维婧、李寅辰</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地址：丈八一路 1 号汇鑫中心 D 座 2206 室陕西德勤招标有限公司</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省级无线电管理“十四五”规划技术设施建设指导意见》中提到“加强固定监测设施覆盖监测补盲”“监测覆盖率小于90%的城市区域，适度增加监测覆盖能力”。近年来，随着各类通信技术的高速发展，使得区域内设置使用台站的用户数量迅速增加，频率资源紧张、电磁环境恶化，电磁干扰时有发生，加之各类高大建筑物的兴建，城市中心城区无线电监测盲区呈扩大趋势。同时，在各种社会利益矛盾相互交织下，“黑广播”、“伪基站”等非法用频、违规设台行为时有发生，非法台站设备生产技术门槛逐步降低，并向微型化、便携化、隐蔽化发展。为更好地适应新时期下非法台站查处、无线电安全保障任务等工作需要，亟需补充建设一批监测技术设施，以加强陕西省电磁环境实时监控力度，提升无线电监管能力。 为有效提升全省城市区域无线电监测能力和覆盖范围，有效应对日益增长的无线电管理需求，掌握全省电磁环境情况，更好地服务经济社会发展，陕西省无线电管理委员会办公室拟在商洛市建设一座二类固定监测站。</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2,100,000.00</w:t>
      </w:r>
    </w:p>
    <w:p>
      <w:pPr>
        <w:pStyle w:val="null3"/>
      </w:pPr>
      <w:r>
        <w:rPr>
          <w:rFonts w:ascii="仿宋_GB2312" w:hAnsi="仿宋_GB2312" w:cs="仿宋_GB2312" w:eastAsia="仿宋_GB2312"/>
        </w:rPr>
        <w:t>采购包最高限价（元）: 2,100,000.00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新建城市城区固定监测站一期(C包）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2,100,000.00</w:t>
            </w:r>
          </w:p>
        </w:tc>
        <w:tc>
          <w:tcPr>
            <w:tcW w:type="dxa" w:w="831"/>
          </w:tcPr>
          <w:p>
            <w:pPr>
              <w:pStyle w:val="null3"/>
            </w:pPr>
            <w:r>
              <w:rPr>
                <w:rFonts w:ascii="仿宋_GB2312" w:hAnsi="仿宋_GB2312" w:cs="仿宋_GB2312" w:eastAsia="仿宋_GB2312"/>
              </w:rPr>
              <w:t>座</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标的名称：新建城市城区固定监测站一期(C包）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sz w:val="21"/>
                <w:b/>
                <w:color w:val="000000"/>
              </w:rPr>
              <w:t>项目背景</w:t>
            </w:r>
          </w:p>
          <w:p>
            <w:pPr>
              <w:pStyle w:val="null3"/>
              <w:ind w:firstLine="420"/>
              <w:jc w:val="left"/>
            </w:pPr>
            <w:r>
              <w:rPr>
                <w:rFonts w:ascii="仿宋_GB2312" w:hAnsi="仿宋_GB2312" w:cs="仿宋_GB2312" w:eastAsia="仿宋_GB2312"/>
                <w:sz w:val="21"/>
                <w:color w:val="000000"/>
              </w:rPr>
              <w:t>《省级无线电管理</w:t>
            </w:r>
            <w:r>
              <w:rPr>
                <w:rFonts w:ascii="仿宋_GB2312" w:hAnsi="仿宋_GB2312" w:cs="仿宋_GB2312" w:eastAsia="仿宋_GB2312"/>
                <w:sz w:val="21"/>
                <w:color w:val="000000"/>
              </w:rPr>
              <w:t>“十四五”规划技术设施建设指导意见》中提到“加强固定监测设施覆盖监测补盲”“监测覆盖率小于90%的城市区域，适度增加监测覆盖能力”。近年来，随着各类通信技术的高速发展，使得区域内设置使用台站的用户数量迅速增加，频率资源紧张、电磁环境恶化，电磁干扰时有发生，加之各类高大建筑物的兴建，城市中心城区无线电监测盲区呈扩大趋势。同时，在各种社会利益矛盾相互交织下，“黑广播”、“伪基站”等非法用频、违规设台行为时有发生，非法台站设备生产技术门槛逐步降低，并向微型化、便携化、隐蔽化发展。为更好地适应新时期下非法台站查处、无线电安全保障任务等工作需要，亟需补充建设一批监测技术设施，以加强陕西省电磁环境实时监控力度，提升无线电监管能力。</w:t>
            </w:r>
          </w:p>
          <w:p>
            <w:pPr>
              <w:pStyle w:val="null3"/>
              <w:ind w:firstLine="420"/>
              <w:jc w:val="left"/>
            </w:pPr>
            <w:r>
              <w:rPr>
                <w:rFonts w:ascii="仿宋_GB2312" w:hAnsi="仿宋_GB2312" w:cs="仿宋_GB2312" w:eastAsia="仿宋_GB2312"/>
                <w:sz w:val="21"/>
                <w:color w:val="000000"/>
              </w:rPr>
              <w:t>为有效提升全省城市区域无线电监测能力和覆盖范围，有效应对日益增长的无线电管理需求，掌握全省电磁环境情况，更好地服务经济社会发展，陕西省无线电管理委员会办公室拟在商洛市建设一座二类固定监测站。</w:t>
            </w:r>
          </w:p>
          <w:p>
            <w:pPr>
              <w:pStyle w:val="null3"/>
              <w:jc w:val="left"/>
            </w:pPr>
            <w:r>
              <w:rPr>
                <w:rFonts w:ascii="仿宋_GB2312" w:hAnsi="仿宋_GB2312" w:cs="仿宋_GB2312" w:eastAsia="仿宋_GB2312"/>
                <w:sz w:val="21"/>
                <w:b/>
                <w:color w:val="000000"/>
              </w:rPr>
              <w:t>二、总体要求</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信号监测应符合国家无线电监测中心关于超短波无线电监测网建设的各项规范和国际电联推荐的《频谱监测手册》以及其他相关技术标准。符合原子化封装服务要求，支持国家超短波监测管理服务接口规范、超短波频段监测基础数据存储结构技术规范。</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系统应满足国家无线电办公室印发的《省级无线电监测设施建设规范和技术要求(试行)》中有关二类固定监测站的功能要求，支持无线电测向，可完成规定频段的数据采集，能够实现国家无委规定的月报生成、管理及上报功能，能够按照国家无线电管理局的规定完成频谱评估数据采集和分析功能，产生相对应报表。</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3）二类站在交付验收之前必须按照工业和信息化部印发的《无线电监测设施测试验证工作规定(试行)》的相关要求完成具有CNAS、CMA资质的第三方测试验证工作，相关费用包含在投标总价内。</w:t>
            </w:r>
          </w:p>
          <w:p>
            <w:pPr>
              <w:pStyle w:val="null3"/>
              <w:jc w:val="left"/>
            </w:pPr>
            <w:r>
              <w:rPr>
                <w:rFonts w:ascii="仿宋_GB2312" w:hAnsi="仿宋_GB2312" w:cs="仿宋_GB2312" w:eastAsia="仿宋_GB2312"/>
                <w:sz w:val="21"/>
                <w:b/>
                <w:color w:val="000000"/>
              </w:rPr>
              <w:t>三、遵循的标准和规范</w:t>
            </w:r>
          </w:p>
          <w:p>
            <w:pPr>
              <w:pStyle w:val="null3"/>
              <w:numPr>
                <w:ilvl w:val="0"/>
                <w:numId w:val="1"/>
              </w:numPr>
              <w:jc w:val="left"/>
            </w:pPr>
            <w:r>
              <w:rPr>
                <w:rFonts w:ascii="仿宋_GB2312" w:hAnsi="仿宋_GB2312" w:cs="仿宋_GB2312" w:eastAsia="仿宋_GB2312"/>
                <w:sz w:val="21"/>
                <w:color w:val="000000"/>
              </w:rPr>
              <w:t>《中华人民共和国无线电管理条例》；</w:t>
            </w:r>
          </w:p>
          <w:p>
            <w:pPr>
              <w:pStyle w:val="null3"/>
              <w:numPr>
                <w:ilvl w:val="0"/>
                <w:numId w:val="1"/>
              </w:numPr>
              <w:jc w:val="left"/>
            </w:pPr>
            <w:r>
              <w:rPr>
                <w:rFonts w:ascii="仿宋_GB2312" w:hAnsi="仿宋_GB2312" w:cs="仿宋_GB2312" w:eastAsia="仿宋_GB2312"/>
                <w:sz w:val="21"/>
                <w:color w:val="000000"/>
              </w:rPr>
              <w:t>《频谱监测手册》（</w:t>
            </w:r>
            <w:r>
              <w:rPr>
                <w:rFonts w:ascii="仿宋_GB2312" w:hAnsi="仿宋_GB2312" w:cs="仿宋_GB2312" w:eastAsia="仿宋_GB2312"/>
                <w:sz w:val="21"/>
                <w:color w:val="000000"/>
              </w:rPr>
              <w:t>2011版）；</w:t>
            </w:r>
          </w:p>
          <w:p>
            <w:pPr>
              <w:pStyle w:val="null3"/>
              <w:numPr>
                <w:ilvl w:val="0"/>
                <w:numId w:val="1"/>
              </w:numPr>
              <w:jc w:val="left"/>
            </w:pPr>
            <w:r>
              <w:rPr>
                <w:rFonts w:ascii="仿宋_GB2312" w:hAnsi="仿宋_GB2312" w:cs="仿宋_GB2312" w:eastAsia="仿宋_GB2312"/>
                <w:sz w:val="21"/>
                <w:color w:val="000000"/>
              </w:rPr>
              <w:t>《省级无线电监测设施建设规范和技术要求（试行）》（国无办〔</w:t>
            </w:r>
            <w:r>
              <w:rPr>
                <w:rFonts w:ascii="仿宋_GB2312" w:hAnsi="仿宋_GB2312" w:cs="仿宋_GB2312" w:eastAsia="仿宋_GB2312"/>
                <w:sz w:val="21"/>
                <w:color w:val="000000"/>
              </w:rPr>
              <w:t>2019〕3号）；</w:t>
            </w:r>
          </w:p>
          <w:p>
            <w:pPr>
              <w:pStyle w:val="null3"/>
              <w:numPr>
                <w:ilvl w:val="0"/>
                <w:numId w:val="1"/>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GB/T 13622-2012 无线电管理术语》；</w:t>
            </w:r>
          </w:p>
          <w:p>
            <w:pPr>
              <w:pStyle w:val="null3"/>
              <w:numPr>
                <w:ilvl w:val="0"/>
                <w:numId w:val="1"/>
              </w:numPr>
              <w:jc w:val="left"/>
            </w:pPr>
            <w:r>
              <w:rPr>
                <w:rFonts w:ascii="仿宋_GB2312" w:hAnsi="仿宋_GB2312" w:cs="仿宋_GB2312" w:eastAsia="仿宋_GB2312"/>
                <w:sz w:val="21"/>
                <w:color w:val="000000"/>
              </w:rPr>
              <w:t>《陕西省无线电管理技术设施</w:t>
            </w:r>
            <w:r>
              <w:rPr>
                <w:rFonts w:ascii="仿宋_GB2312" w:hAnsi="仿宋_GB2312" w:cs="仿宋_GB2312" w:eastAsia="仿宋_GB2312"/>
                <w:sz w:val="21"/>
                <w:color w:val="000000"/>
              </w:rPr>
              <w:t>“十四五”规划》；</w:t>
            </w:r>
          </w:p>
          <w:p>
            <w:pPr>
              <w:pStyle w:val="null3"/>
              <w:numPr>
                <w:ilvl w:val="0"/>
                <w:numId w:val="1"/>
              </w:numPr>
              <w:jc w:val="left"/>
            </w:pPr>
            <w:r>
              <w:rPr>
                <w:rFonts w:ascii="仿宋_GB2312" w:hAnsi="仿宋_GB2312" w:cs="仿宋_GB2312" w:eastAsia="仿宋_GB2312"/>
                <w:sz w:val="21"/>
                <w:color w:val="000000"/>
              </w:rPr>
              <w:t>《超短波监测管理一体化平台技术规范》；</w:t>
            </w:r>
          </w:p>
          <w:p>
            <w:pPr>
              <w:pStyle w:val="null3"/>
              <w:numPr>
                <w:ilvl w:val="0"/>
                <w:numId w:val="1"/>
              </w:numPr>
              <w:jc w:val="left"/>
            </w:pPr>
            <w:r>
              <w:rPr>
                <w:rFonts w:ascii="仿宋_GB2312" w:hAnsi="仿宋_GB2312" w:cs="仿宋_GB2312" w:eastAsia="仿宋_GB2312"/>
                <w:sz w:val="21"/>
                <w:color w:val="000000"/>
              </w:rPr>
              <w:t>《无线电监测设施测试验证工作规定（试行）》；</w:t>
            </w:r>
          </w:p>
          <w:p>
            <w:pPr>
              <w:pStyle w:val="null3"/>
              <w:numPr>
                <w:ilvl w:val="0"/>
                <w:numId w:val="1"/>
              </w:numPr>
              <w:jc w:val="left"/>
            </w:pPr>
            <w:r>
              <w:rPr>
                <w:rFonts w:ascii="仿宋_GB2312" w:hAnsi="仿宋_GB2312" w:cs="仿宋_GB2312" w:eastAsia="仿宋_GB2312"/>
                <w:sz w:val="21"/>
                <w:color w:val="000000"/>
              </w:rPr>
              <w:t>《超短波频段监测数据统计汇总数据库结构技术标准》；</w:t>
            </w:r>
          </w:p>
          <w:p>
            <w:pPr>
              <w:pStyle w:val="null3"/>
              <w:numPr>
                <w:ilvl w:val="0"/>
                <w:numId w:val="1"/>
              </w:numPr>
              <w:jc w:val="left"/>
            </w:pPr>
            <w:r>
              <w:rPr>
                <w:rFonts w:ascii="仿宋_GB2312" w:hAnsi="仿宋_GB2312" w:cs="仿宋_GB2312" w:eastAsia="仿宋_GB2312"/>
                <w:sz w:val="21"/>
                <w:color w:val="000000"/>
              </w:rPr>
              <w:t>《无线电管理基础和技术设施建设项目管理指导意见》（国无办函〔</w:t>
            </w:r>
            <w:r>
              <w:rPr>
                <w:rFonts w:ascii="仿宋_GB2312" w:hAnsi="仿宋_GB2312" w:cs="仿宋_GB2312" w:eastAsia="仿宋_GB2312"/>
                <w:sz w:val="21"/>
                <w:color w:val="000000"/>
              </w:rPr>
              <w:t>2019〕21号）；</w:t>
            </w:r>
          </w:p>
          <w:p>
            <w:pPr>
              <w:pStyle w:val="null3"/>
              <w:numPr>
                <w:ilvl w:val="0"/>
                <w:numId w:val="1"/>
              </w:numPr>
              <w:jc w:val="left"/>
            </w:pPr>
            <w:r>
              <w:rPr>
                <w:rFonts w:ascii="仿宋_GB2312" w:hAnsi="仿宋_GB2312" w:cs="仿宋_GB2312" w:eastAsia="仿宋_GB2312"/>
                <w:sz w:val="21"/>
                <w:color w:val="000000"/>
              </w:rPr>
              <w:t>其它有关的现行国家标准和规定。</w:t>
            </w:r>
          </w:p>
          <w:p>
            <w:pPr>
              <w:pStyle w:val="null3"/>
              <w:jc w:val="left"/>
            </w:pPr>
            <w:r>
              <w:rPr>
                <w:rFonts w:ascii="仿宋_GB2312" w:hAnsi="仿宋_GB2312" w:cs="仿宋_GB2312" w:eastAsia="仿宋_GB2312"/>
              </w:rPr>
              <w:t>四、</w:t>
            </w:r>
            <w:r>
              <w:rPr>
                <w:rFonts w:ascii="仿宋_GB2312" w:hAnsi="仿宋_GB2312" w:cs="仿宋_GB2312" w:eastAsia="仿宋_GB2312"/>
                <w:sz w:val="21"/>
                <w:b/>
                <w:color w:val="000000"/>
              </w:rPr>
              <w:t>项目配置</w:t>
            </w:r>
          </w:p>
          <w:tbl>
            <w:tblPr>
              <w:tblBorders>
                <w:top w:val="none" w:color="000000" w:sz="4"/>
                <w:left w:val="none" w:color="000000" w:sz="4"/>
                <w:bottom w:val="none" w:color="000000" w:sz="4"/>
                <w:right w:val="none" w:color="000000" w:sz="4"/>
                <w:insideH w:val="none"/>
                <w:insideV w:val="none"/>
              </w:tblBorders>
            </w:tblPr>
            <w:tblGrid>
              <w:gridCol w:w="236"/>
              <w:gridCol w:w="434"/>
              <w:gridCol w:w="476"/>
              <w:gridCol w:w="1156"/>
              <w:gridCol w:w="236"/>
            </w:tblGrid>
            <w:tr>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分类</w:t>
                  </w: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1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系统主设备</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实时频谱</w:t>
                  </w:r>
                  <w:r>
                    <w:rPr>
                      <w:rFonts w:ascii="仿宋_GB2312" w:hAnsi="仿宋_GB2312" w:cs="仿宋_GB2312" w:eastAsia="仿宋_GB2312"/>
                      <w:sz w:val="21"/>
                    </w:rPr>
                    <w:t>监测接收机</w:t>
                  </w: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监测频率范围：</w:t>
                  </w:r>
                  <w:r>
                    <w:rPr>
                      <w:rFonts w:ascii="仿宋_GB2312" w:hAnsi="仿宋_GB2312" w:cs="仿宋_GB2312" w:eastAsia="仿宋_GB2312"/>
                      <w:sz w:val="21"/>
                    </w:rPr>
                    <w:t>20MHz～18000MHz；</w:t>
                  </w:r>
                </w:p>
                <w:p>
                  <w:pPr>
                    <w:pStyle w:val="null3"/>
                    <w:jc w:val="both"/>
                  </w:pPr>
                  <w:r>
                    <w:rPr>
                      <w:rFonts w:ascii="仿宋_GB2312" w:hAnsi="仿宋_GB2312" w:cs="仿宋_GB2312" w:eastAsia="仿宋_GB2312"/>
                      <w:sz w:val="21"/>
                    </w:rPr>
                    <w:t>具备万兆光口输出能力与配套局域网传输、存储能力。</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测向接收机</w:t>
                  </w: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测向频率范围：</w:t>
                  </w:r>
                  <w:r>
                    <w:rPr>
                      <w:rFonts w:ascii="仿宋_GB2312" w:hAnsi="仿宋_GB2312" w:cs="仿宋_GB2312" w:eastAsia="仿宋_GB2312"/>
                      <w:sz w:val="21"/>
                    </w:rPr>
                    <w:t>2</w:t>
                  </w:r>
                  <w:r>
                    <w:rPr>
                      <w:rFonts w:ascii="仿宋_GB2312" w:hAnsi="仿宋_GB2312" w:cs="仿宋_GB2312" w:eastAsia="仿宋_GB2312"/>
                      <w:sz w:val="21"/>
                    </w:rPr>
                    <w:t>0MHz～8000MHz（垂直极化）；</w:t>
                  </w:r>
                </w:p>
                <w:p>
                  <w:pPr>
                    <w:pStyle w:val="null3"/>
                    <w:jc w:val="both"/>
                  </w:pPr>
                  <w:r>
                    <w:rPr>
                      <w:rFonts w:ascii="仿宋_GB2312" w:hAnsi="仿宋_GB2312" w:cs="仿宋_GB2312" w:eastAsia="仿宋_GB2312"/>
                      <w:sz w:val="21"/>
                    </w:rPr>
                    <w:t>40MHz～1300MHz（水平极化）</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测向天线</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垂直极化：</w:t>
                  </w:r>
                  <w:r>
                    <w:rPr>
                      <w:rFonts w:ascii="仿宋_GB2312" w:hAnsi="仿宋_GB2312" w:cs="仿宋_GB2312" w:eastAsia="仿宋_GB2312"/>
                      <w:sz w:val="21"/>
                    </w:rPr>
                    <w:t>2</w:t>
                  </w:r>
                  <w:r>
                    <w:rPr>
                      <w:rFonts w:ascii="仿宋_GB2312" w:hAnsi="仿宋_GB2312" w:cs="仿宋_GB2312" w:eastAsia="仿宋_GB2312"/>
                      <w:sz w:val="21"/>
                    </w:rPr>
                    <w:t>0MHz～8000MHz</w:t>
                  </w:r>
                </w:p>
                <w:p>
                  <w:pPr>
                    <w:pStyle w:val="null3"/>
                    <w:jc w:val="both"/>
                  </w:pPr>
                  <w:r>
                    <w:rPr>
                      <w:rFonts w:ascii="仿宋_GB2312" w:hAnsi="仿宋_GB2312" w:cs="仿宋_GB2312" w:eastAsia="仿宋_GB2312"/>
                      <w:sz w:val="21"/>
                    </w:rPr>
                    <w:t>水平极化：</w:t>
                  </w:r>
                  <w:r>
                    <w:rPr>
                      <w:rFonts w:ascii="仿宋_GB2312" w:hAnsi="仿宋_GB2312" w:cs="仿宋_GB2312" w:eastAsia="仿宋_GB2312"/>
                      <w:sz w:val="21"/>
                    </w:rPr>
                    <w:t>40MHz～1300MHz</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监测天线</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工作频率：</w:t>
                  </w:r>
                  <w:r>
                    <w:rPr>
                      <w:rFonts w:ascii="仿宋_GB2312" w:hAnsi="仿宋_GB2312" w:cs="仿宋_GB2312" w:eastAsia="仿宋_GB2312"/>
                      <w:sz w:val="21"/>
                    </w:rPr>
                    <w:t>20MHz～18000MHz</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系统集成设备</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交换机</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不少于</w:t>
                  </w:r>
                  <w:r>
                    <w:rPr>
                      <w:rFonts w:ascii="仿宋_GB2312" w:hAnsi="仿宋_GB2312" w:cs="仿宋_GB2312" w:eastAsia="仿宋_GB2312"/>
                      <w:sz w:val="21"/>
                    </w:rPr>
                    <w:t>16口网络口，</w:t>
                  </w:r>
                  <w:r>
                    <w:rPr>
                      <w:rFonts w:ascii="仿宋_GB2312" w:hAnsi="仿宋_GB2312" w:cs="仿宋_GB2312" w:eastAsia="仿宋_GB2312"/>
                      <w:sz w:val="21"/>
                    </w:rPr>
                    <w:t>万</w:t>
                  </w:r>
                  <w:r>
                    <w:rPr>
                      <w:rFonts w:ascii="仿宋_GB2312" w:hAnsi="仿宋_GB2312" w:cs="仿宋_GB2312" w:eastAsia="仿宋_GB2312"/>
                      <w:sz w:val="21"/>
                    </w:rPr>
                    <w:t>兆网络交换机</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供电系统</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双变换在线式</w:t>
                  </w:r>
                  <w:r>
                    <w:rPr>
                      <w:rFonts w:ascii="仿宋_GB2312" w:hAnsi="仿宋_GB2312" w:cs="仿宋_GB2312" w:eastAsia="仿宋_GB2312"/>
                      <w:sz w:val="21"/>
                    </w:rPr>
                    <w:t>UPS电源，断电后维持系统正常工作不低于8小时</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工控机</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CPU至少为64位四核心八线程，运行内存不低于32G</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控制终端</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CPU至少为64位四核心八线程，运行内存不低于32G，硬盘不低于20T</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0</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w:t>
                  </w:r>
                  <w:r>
                    <w:rPr>
                      <w:rFonts w:ascii="仿宋_GB2312" w:hAnsi="仿宋_GB2312" w:cs="仿宋_GB2312" w:eastAsia="仿宋_GB2312"/>
                      <w:sz w:val="21"/>
                    </w:rPr>
                    <w:t>监控管理</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远程开关机控制；</w:t>
                  </w:r>
                  <w:r>
                    <w:rPr>
                      <w:rFonts w:ascii="仿宋_GB2312" w:hAnsi="仿宋_GB2312" w:cs="仿宋_GB2312" w:eastAsia="仿宋_GB2312"/>
                      <w:sz w:val="21"/>
                    </w:rPr>
                    <w:t>包括电源</w:t>
                  </w:r>
                  <w:r>
                    <w:rPr>
                      <w:rFonts w:ascii="仿宋_GB2312" w:hAnsi="仿宋_GB2312" w:cs="仿宋_GB2312" w:eastAsia="仿宋_GB2312"/>
                      <w:sz w:val="21"/>
                    </w:rPr>
                    <w:t>、</w:t>
                  </w:r>
                  <w:r>
                    <w:rPr>
                      <w:rFonts w:ascii="仿宋_GB2312" w:hAnsi="仿宋_GB2312" w:cs="仿宋_GB2312" w:eastAsia="仿宋_GB2312"/>
                      <w:sz w:val="21"/>
                    </w:rPr>
                    <w:t>设备开关</w:t>
                  </w:r>
                  <w:r>
                    <w:rPr>
                      <w:rFonts w:ascii="仿宋_GB2312" w:hAnsi="仿宋_GB2312" w:cs="仿宋_GB2312" w:eastAsia="仿宋_GB2312"/>
                      <w:sz w:val="21"/>
                    </w:rPr>
                    <w:t>、温度、湿度、图像声音、烟雾</w:t>
                  </w:r>
                  <w:r>
                    <w:rPr>
                      <w:rFonts w:ascii="仿宋_GB2312" w:hAnsi="仿宋_GB2312" w:cs="仿宋_GB2312" w:eastAsia="仿宋_GB2312"/>
                      <w:sz w:val="21"/>
                    </w:rPr>
                    <w:t>、</w:t>
                  </w:r>
                  <w:r>
                    <w:rPr>
                      <w:rFonts w:ascii="仿宋_GB2312" w:hAnsi="仿宋_GB2312" w:cs="仿宋_GB2312" w:eastAsia="仿宋_GB2312"/>
                      <w:sz w:val="21"/>
                    </w:rPr>
                    <w:t>浸水</w:t>
                  </w:r>
                  <w:r>
                    <w:rPr>
                      <w:rFonts w:ascii="仿宋_GB2312" w:hAnsi="仿宋_GB2312" w:cs="仿宋_GB2312" w:eastAsia="仿宋_GB2312"/>
                      <w:sz w:val="21"/>
                    </w:rPr>
                    <w:t>等</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标准一体化机柜（可根据安装地点情况调整为室外机柜）</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监控设备</w:t>
                  </w:r>
                </w:p>
                <w:p>
                  <w:pPr>
                    <w:pStyle w:val="null3"/>
                    <w:jc w:val="center"/>
                  </w:pPr>
                  <w:r>
                    <w:rPr>
                      <w:rFonts w:ascii="仿宋_GB2312" w:hAnsi="仿宋_GB2312" w:cs="仿宋_GB2312" w:eastAsia="仿宋_GB2312"/>
                      <w:sz w:val="21"/>
                    </w:rPr>
                    <w:t>（含摄像头、录像机）</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摄像头分辨率至少</w:t>
                  </w:r>
                  <w:r>
                    <w:rPr>
                      <w:rFonts w:ascii="仿宋_GB2312" w:hAnsi="仿宋_GB2312" w:cs="仿宋_GB2312" w:eastAsia="仿宋_GB2312"/>
                      <w:sz w:val="21"/>
                    </w:rPr>
                    <w:t>1080P，具备弱光录像功能</w:t>
                  </w:r>
                </w:p>
                <w:p>
                  <w:pPr>
                    <w:pStyle w:val="null3"/>
                    <w:jc w:val="both"/>
                  </w:pPr>
                  <w:r>
                    <w:rPr>
                      <w:rFonts w:ascii="仿宋_GB2312" w:hAnsi="仿宋_GB2312" w:cs="仿宋_GB2312" w:eastAsia="仿宋_GB2312"/>
                      <w:sz w:val="21"/>
                    </w:rPr>
                    <w:t>录像机支持至少</w:t>
                  </w:r>
                  <w:r>
                    <w:rPr>
                      <w:rFonts w:ascii="仿宋_GB2312" w:hAnsi="仿宋_GB2312" w:cs="仿宋_GB2312" w:eastAsia="仿宋_GB2312"/>
                      <w:sz w:val="21"/>
                    </w:rPr>
                    <w:t>30天已录制视频的回放</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防雷接地系统</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依据机房设计方案和实际施工方案定制（包括但不限于避雷装置、电源浪涌保护器、接地等）</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其他集成附属设施</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依据天馈系统实际部署情况定制，包括但不限于馈线组件、射频线缆、控制电缆、安装支架</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系统软件</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监测测向软件</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正版监测测向控制软件</w:t>
                  </w:r>
                  <w:r>
                    <w:rPr>
                      <w:rFonts w:ascii="仿宋_GB2312" w:hAnsi="仿宋_GB2312" w:cs="仿宋_GB2312" w:eastAsia="仿宋_GB2312"/>
                      <w:sz w:val="21"/>
                    </w:rPr>
                    <w:t>（含软件测评）</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专项业务监测模块</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无人机识别功能</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具有无人机上下行信号监测和识别功能，以及主流无人机的型号识别功能</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7</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数字对讲解码功能</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具备数字对讲机信号解析功能，支持市场上常见的数字对讲协议和声码器识别（</w:t>
                  </w:r>
                  <w:r>
                    <w:rPr>
                      <w:rFonts w:ascii="仿宋_GB2312" w:hAnsi="仿宋_GB2312" w:cs="仿宋_GB2312" w:eastAsia="仿宋_GB2312"/>
                      <w:sz w:val="21"/>
                    </w:rPr>
                    <w:t>DMR，dPMR，NXDN，TETRA，PDT）等。</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广播电视声音及图像信号监测功能</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具备广播电视解调能力，系统支持对广播信号解调，支持对</w:t>
                  </w:r>
                  <w:r>
                    <w:rPr>
                      <w:rFonts w:ascii="仿宋_GB2312" w:hAnsi="仿宋_GB2312" w:cs="仿宋_GB2312" w:eastAsia="仿宋_GB2312"/>
                      <w:sz w:val="21"/>
                    </w:rPr>
                    <w:t>DTMB等多种制式地面电视信号的解调分析能力</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航空监测功能</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通过</w:t>
                  </w:r>
                  <w:r>
                    <w:rPr>
                      <w:rFonts w:ascii="仿宋_GB2312" w:hAnsi="仿宋_GB2312" w:cs="仿宋_GB2312" w:eastAsia="仿宋_GB2312"/>
                      <w:sz w:val="21"/>
                    </w:rPr>
                    <w:t>ADS-B信号监测系统，能够自动获取飞机的位置、高度、速度、航向、识别号等信息参数，能够在地图中实时显示飞机的位置及飞机参数、轨迹等</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网络安全设备</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防火墙</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网络层吞吐量</w:t>
                  </w:r>
                  <w:r>
                    <w:rPr>
                      <w:rFonts w:ascii="仿宋_GB2312" w:hAnsi="仿宋_GB2312" w:cs="仿宋_GB2312" w:eastAsia="仿宋_GB2312"/>
                      <w:sz w:val="21"/>
                    </w:rPr>
                    <w:t>≥1Gbps</w:t>
                  </w:r>
                </w:p>
                <w:p>
                  <w:pPr>
                    <w:pStyle w:val="null3"/>
                    <w:jc w:val="both"/>
                  </w:pPr>
                  <w:r>
                    <w:rPr>
                      <w:rFonts w:ascii="仿宋_GB2312" w:hAnsi="仿宋_GB2312" w:cs="仿宋_GB2312" w:eastAsia="仿宋_GB2312"/>
                      <w:sz w:val="21"/>
                    </w:rPr>
                    <w:t>应用层吞吐量</w:t>
                  </w:r>
                  <w:r>
                    <w:rPr>
                      <w:rFonts w:ascii="仿宋_GB2312" w:hAnsi="仿宋_GB2312" w:cs="仿宋_GB2312" w:eastAsia="仿宋_GB2312"/>
                      <w:sz w:val="21"/>
                    </w:rPr>
                    <w:t>≥1Gbps</w:t>
                  </w:r>
                </w:p>
                <w:p>
                  <w:pPr>
                    <w:pStyle w:val="null3"/>
                    <w:jc w:val="both"/>
                  </w:pPr>
                  <w:r>
                    <w:rPr>
                      <w:rFonts w:ascii="仿宋_GB2312" w:hAnsi="仿宋_GB2312" w:cs="仿宋_GB2312" w:eastAsia="仿宋_GB2312"/>
                      <w:sz w:val="21"/>
                    </w:rPr>
                    <w:t>IPS吞吐量≥100Mbps</w:t>
                  </w:r>
                </w:p>
                <w:p>
                  <w:pPr>
                    <w:pStyle w:val="null3"/>
                    <w:jc w:val="both"/>
                  </w:pPr>
                  <w:r>
                    <w:rPr>
                      <w:rFonts w:ascii="仿宋_GB2312" w:hAnsi="仿宋_GB2312" w:cs="仿宋_GB2312" w:eastAsia="仿宋_GB2312"/>
                      <w:sz w:val="21"/>
                    </w:rPr>
                    <w:t>并发连接数</w:t>
                  </w:r>
                  <w:r>
                    <w:rPr>
                      <w:rFonts w:ascii="仿宋_GB2312" w:hAnsi="仿宋_GB2312" w:cs="仿宋_GB2312" w:eastAsia="仿宋_GB2312"/>
                      <w:sz w:val="21"/>
                    </w:rPr>
                    <w:t>≥100万</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34"/>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路由器</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包转发率</w:t>
                  </w:r>
                  <w:r>
                    <w:rPr>
                      <w:rFonts w:ascii="仿宋_GB2312" w:hAnsi="仿宋_GB2312" w:cs="仿宋_GB2312" w:eastAsia="仿宋_GB2312"/>
                      <w:sz w:val="21"/>
                    </w:rPr>
                    <w:t>≥5.4Kpps</w:t>
                  </w:r>
                </w:p>
                <w:p>
                  <w:pPr>
                    <w:pStyle w:val="null3"/>
                    <w:jc w:val="both"/>
                  </w:pPr>
                  <w:r>
                    <w:rPr>
                      <w:rFonts w:ascii="仿宋_GB2312" w:hAnsi="仿宋_GB2312" w:cs="仿宋_GB2312" w:eastAsia="仿宋_GB2312"/>
                      <w:sz w:val="21"/>
                    </w:rPr>
                    <w:t>每秒新建连接数</w:t>
                  </w:r>
                  <w:r>
                    <w:rPr>
                      <w:rFonts w:ascii="仿宋_GB2312" w:hAnsi="仿宋_GB2312" w:cs="仿宋_GB2312" w:eastAsia="仿宋_GB2312"/>
                      <w:sz w:val="21"/>
                    </w:rPr>
                    <w:t>≥500</w:t>
                  </w:r>
                </w:p>
                <w:p>
                  <w:pPr>
                    <w:pStyle w:val="null3"/>
                    <w:jc w:val="both"/>
                  </w:pPr>
                  <w:r>
                    <w:rPr>
                      <w:rFonts w:ascii="仿宋_GB2312" w:hAnsi="仿宋_GB2312" w:cs="仿宋_GB2312" w:eastAsia="仿宋_GB2312"/>
                      <w:sz w:val="21"/>
                    </w:rPr>
                    <w:t>最大并发连接数</w:t>
                  </w:r>
                  <w:r>
                    <w:rPr>
                      <w:rFonts w:ascii="仿宋_GB2312" w:hAnsi="仿宋_GB2312" w:cs="仿宋_GB2312" w:eastAsia="仿宋_GB2312"/>
                      <w:sz w:val="21"/>
                    </w:rPr>
                    <w:t>≥20000</w:t>
                  </w:r>
                </w:p>
                <w:p>
                  <w:pPr>
                    <w:pStyle w:val="null3"/>
                    <w:jc w:val="both"/>
                  </w:pPr>
                  <w:r>
                    <w:rPr>
                      <w:rFonts w:ascii="仿宋_GB2312" w:hAnsi="仿宋_GB2312" w:cs="仿宋_GB2312" w:eastAsia="仿宋_GB2312"/>
                      <w:sz w:val="21"/>
                    </w:rPr>
                    <w:t>内存</w:t>
                  </w:r>
                  <w:r>
                    <w:rPr>
                      <w:rFonts w:ascii="仿宋_GB2312" w:hAnsi="仿宋_GB2312" w:cs="仿宋_GB2312" w:eastAsia="仿宋_GB2312"/>
                      <w:sz w:val="21"/>
                    </w:rPr>
                    <w:t>≥2GB</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bl>
          <w:p>
            <w:pPr>
              <w:pStyle w:val="null3"/>
              <w:jc w:val="left"/>
            </w:pPr>
            <w:r>
              <w:rPr>
                <w:rFonts w:ascii="仿宋_GB2312" w:hAnsi="仿宋_GB2312" w:cs="仿宋_GB2312" w:eastAsia="仿宋_GB2312"/>
                <w:sz w:val="21"/>
                <w:b/>
                <w:color w:val="000000"/>
              </w:rPr>
              <w:t>五、功能及技术要求</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1总体结构</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1）天馈系统</w:t>
            </w:r>
          </w:p>
          <w:p>
            <w:pPr>
              <w:pStyle w:val="null3"/>
              <w:ind w:firstLine="420"/>
              <w:jc w:val="both"/>
            </w:pPr>
            <w:r>
              <w:rPr>
                <w:rFonts w:ascii="仿宋_GB2312" w:hAnsi="仿宋_GB2312" w:cs="仿宋_GB2312" w:eastAsia="仿宋_GB2312"/>
                <w:sz w:val="21"/>
              </w:rPr>
              <w:t>天馈系统主要包括</w:t>
            </w:r>
            <w:r>
              <w:rPr>
                <w:rFonts w:ascii="仿宋_GB2312" w:hAnsi="仿宋_GB2312" w:cs="仿宋_GB2312" w:eastAsia="仿宋_GB2312"/>
                <w:sz w:val="21"/>
              </w:rPr>
              <w:t>20MHz～18000MHz监测天线、</w:t>
            </w:r>
            <w:r>
              <w:rPr>
                <w:rFonts w:ascii="仿宋_GB2312" w:hAnsi="仿宋_GB2312" w:cs="仿宋_GB2312" w:eastAsia="仿宋_GB2312"/>
                <w:sz w:val="21"/>
              </w:rPr>
              <w:t>2</w:t>
            </w:r>
            <w:r>
              <w:rPr>
                <w:rFonts w:ascii="仿宋_GB2312" w:hAnsi="仿宋_GB2312" w:cs="仿宋_GB2312" w:eastAsia="仿宋_GB2312"/>
                <w:sz w:val="21"/>
              </w:rPr>
              <w:t>0MHz～8000MHz垂直极化测向天线、40MHz～1300MHz水平极化测向天线、天线安装支架、馈线、转接头、射频线缆等设备。</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2）监测测向系统</w:t>
            </w:r>
          </w:p>
          <w:p>
            <w:pPr>
              <w:pStyle w:val="null3"/>
              <w:ind w:firstLine="420"/>
              <w:jc w:val="both"/>
            </w:pPr>
            <w:r>
              <w:rPr>
                <w:rFonts w:ascii="仿宋_GB2312" w:hAnsi="仿宋_GB2312" w:cs="仿宋_GB2312" w:eastAsia="仿宋_GB2312"/>
                <w:sz w:val="21"/>
              </w:rPr>
              <w:t>监测测向系统包括监测接收机测向接收机。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3）监听系统</w:t>
            </w:r>
          </w:p>
          <w:p>
            <w:pPr>
              <w:pStyle w:val="null3"/>
              <w:ind w:firstLine="420"/>
              <w:jc w:val="both"/>
            </w:pPr>
            <w:r>
              <w:rPr>
                <w:rFonts w:ascii="仿宋_GB2312" w:hAnsi="仿宋_GB2312" w:cs="仿宋_GB2312" w:eastAsia="仿宋_GB2312"/>
                <w:sz w:val="21"/>
              </w:rPr>
              <w:t>不明信号监测、对讲机通信监测、多路窄带监听、黑广播识别等相关软硬件模块。</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4）控制系统</w:t>
            </w:r>
          </w:p>
          <w:p>
            <w:pPr>
              <w:pStyle w:val="null3"/>
              <w:ind w:firstLine="420"/>
              <w:jc w:val="both"/>
            </w:pPr>
            <w:r>
              <w:rPr>
                <w:rFonts w:ascii="仿宋_GB2312" w:hAnsi="仿宋_GB2312" w:cs="仿宋_GB2312" w:eastAsia="仿宋_GB2312"/>
                <w:sz w:val="21"/>
              </w:rPr>
              <w:t>控制系统主要包括操作系统和无线电监测系统软件。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5）通信系统</w:t>
            </w:r>
          </w:p>
          <w:p>
            <w:pPr>
              <w:pStyle w:val="null3"/>
              <w:ind w:firstLine="420"/>
              <w:jc w:val="both"/>
            </w:pPr>
            <w:r>
              <w:rPr>
                <w:rFonts w:ascii="仿宋_GB2312" w:hAnsi="仿宋_GB2312" w:cs="仿宋_GB2312" w:eastAsia="仿宋_GB2312"/>
                <w:sz w:val="21"/>
              </w:rPr>
              <w:t>远程通信、数据、指令传输相关软硬件设备，主要包括交换机和控制终端。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6）电源系统</w:t>
            </w:r>
          </w:p>
          <w:p>
            <w:pPr>
              <w:pStyle w:val="null3"/>
              <w:ind w:firstLine="420"/>
              <w:jc w:val="both"/>
            </w:pPr>
            <w:r>
              <w:rPr>
                <w:rFonts w:ascii="仿宋_GB2312" w:hAnsi="仿宋_GB2312" w:cs="仿宋_GB2312" w:eastAsia="仿宋_GB2312"/>
                <w:sz w:val="21"/>
              </w:rPr>
              <w:t>电源系统主要包括</w:t>
            </w:r>
            <w:r>
              <w:rPr>
                <w:rFonts w:ascii="仿宋_GB2312" w:hAnsi="仿宋_GB2312" w:cs="仿宋_GB2312" w:eastAsia="仿宋_GB2312"/>
                <w:sz w:val="21"/>
              </w:rPr>
              <w:t>UPS、电池组等。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7）防雷接地系统</w:t>
            </w:r>
          </w:p>
          <w:p>
            <w:pPr>
              <w:pStyle w:val="null3"/>
              <w:ind w:firstLine="420"/>
              <w:jc w:val="both"/>
            </w:pPr>
            <w:r>
              <w:rPr>
                <w:rFonts w:ascii="仿宋_GB2312" w:hAnsi="仿宋_GB2312" w:cs="仿宋_GB2312" w:eastAsia="仿宋_GB2312"/>
                <w:sz w:val="21"/>
              </w:rPr>
              <w:t>防雷接地系统主要包括避雷盒、网络避雷器、射频避雷器、电源浪涌保护器、摄像头专用避雷器、信号避雷器等。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8）环境监控设备</w:t>
            </w:r>
          </w:p>
          <w:p>
            <w:pPr>
              <w:pStyle w:val="null3"/>
              <w:ind w:firstLine="420"/>
              <w:jc w:val="both"/>
            </w:pPr>
            <w:r>
              <w:rPr>
                <w:rFonts w:ascii="仿宋_GB2312" w:hAnsi="仿宋_GB2312" w:cs="仿宋_GB2312" w:eastAsia="仿宋_GB2312"/>
                <w:sz w:val="21"/>
              </w:rPr>
              <w:t>环境监控设备主要包括环境监控单元，可实现远程电源、温度、湿度、音视频、烟雾监控等。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9）其他附属设备</w:t>
            </w:r>
          </w:p>
          <w:p>
            <w:pPr>
              <w:pStyle w:val="null3"/>
              <w:ind w:firstLine="420"/>
              <w:jc w:val="both"/>
            </w:pPr>
            <w:r>
              <w:rPr>
                <w:rFonts w:ascii="仿宋_GB2312" w:hAnsi="仿宋_GB2312" w:cs="仿宋_GB2312" w:eastAsia="仿宋_GB2312"/>
                <w:sz w:val="21"/>
              </w:rPr>
              <w:t>其他附属设备主要包括机柜、安装支架等。</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.2功能要求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基本监测功能</w:t>
            </w:r>
          </w:p>
          <w:p>
            <w:pPr>
              <w:pStyle w:val="null3"/>
              <w:ind w:firstLine="420"/>
              <w:jc w:val="both"/>
            </w:pPr>
            <w:r>
              <w:rPr>
                <w:rFonts w:ascii="仿宋_GB2312" w:hAnsi="仿宋_GB2312" w:cs="仿宋_GB2312" w:eastAsia="仿宋_GB2312"/>
                <w:sz w:val="21"/>
              </w:rPr>
              <w:t>可对指定频率的信号进行实时测量，包括频率测量、电平测量、场强和功率通量密度测量、占用带宽测量、调制测量、脉冲测量、频率使用率测量、</w:t>
            </w:r>
            <w:r>
              <w:rPr>
                <w:rFonts w:ascii="仿宋_GB2312" w:hAnsi="仿宋_GB2312" w:cs="仿宋_GB2312" w:eastAsia="仿宋_GB2312"/>
                <w:sz w:val="21"/>
              </w:rPr>
              <w:t>I/Q数据采集等，测量结果符合ITU-R建议的相关参数的规范要求。测量过程中可实时显示信号中频频谱和电平流图，同时对信号进行监听录音，保存的音频文件和监测数据可事后回放。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电磁环境测量功能</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全景扫描</w:t>
            </w:r>
          </w:p>
          <w:p>
            <w:pPr>
              <w:pStyle w:val="null3"/>
              <w:ind w:firstLine="420"/>
              <w:jc w:val="both"/>
            </w:pPr>
            <w:r>
              <w:rPr>
                <w:rFonts w:ascii="仿宋_GB2312" w:hAnsi="仿宋_GB2312" w:cs="仿宋_GB2312" w:eastAsia="仿宋_GB2312"/>
                <w:sz w:val="21"/>
              </w:rPr>
              <w:t>对指定频段范围内信号进行快速扫描监测，测量所有频率的电平数据并显示频谱图和瀑布图，实时进行信道占用度统计，可自动转入测向或</w:t>
            </w:r>
            <w:r>
              <w:rPr>
                <w:rFonts w:ascii="仿宋_GB2312" w:hAnsi="仿宋_GB2312" w:cs="仿宋_GB2312" w:eastAsia="仿宋_GB2312"/>
                <w:sz w:val="21"/>
              </w:rPr>
              <w:t>ITU 测量等功能并保存监测数据。支持扫描监测数据保存回放，监测结果打印。</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频段扫描</w:t>
            </w:r>
          </w:p>
          <w:p>
            <w:pPr>
              <w:pStyle w:val="null3"/>
              <w:ind w:firstLine="420"/>
              <w:jc w:val="both"/>
            </w:pPr>
            <w:r>
              <w:rPr>
                <w:rFonts w:ascii="仿宋_GB2312" w:hAnsi="仿宋_GB2312" w:cs="仿宋_GB2312" w:eastAsia="仿宋_GB2312"/>
                <w:sz w:val="21"/>
              </w:rPr>
              <w:t>对多个频段按设定的参数进行扫描，测量各频率信号幅度（电平或场强）、信道占用度并显示频谱图和瀑布图，扫描过程中可在频谱上拾取指定频点进行驻留监听，可自动转入测向或</w:t>
            </w:r>
            <w:r>
              <w:rPr>
                <w:rFonts w:ascii="仿宋_GB2312" w:hAnsi="仿宋_GB2312" w:cs="仿宋_GB2312" w:eastAsia="仿宋_GB2312"/>
                <w:sz w:val="21"/>
              </w:rPr>
              <w:t>ITU测量等功能并保存监测数据。支持扫描监测数据保存回放，监测结果打印。</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频率扫描</w:t>
            </w:r>
          </w:p>
          <w:p>
            <w:pPr>
              <w:pStyle w:val="null3"/>
              <w:ind w:firstLine="420"/>
              <w:jc w:val="both"/>
            </w:pPr>
            <w:r>
              <w:rPr>
                <w:rFonts w:ascii="仿宋_GB2312" w:hAnsi="仿宋_GB2312" w:cs="仿宋_GB2312" w:eastAsia="仿宋_GB2312"/>
                <w:sz w:val="21"/>
              </w:rPr>
              <w:t>可设置并存储多个频率表，对频率表中频率进行扫描监测，测量各频率信号幅度（电平或场强）、信道占用度并显示瀑布图，扫描过程中可在频谱列表上拾取指定频点进行驻留监听，可自动转入测向或</w:t>
            </w:r>
            <w:r>
              <w:rPr>
                <w:rFonts w:ascii="仿宋_GB2312" w:hAnsi="仿宋_GB2312" w:cs="仿宋_GB2312" w:eastAsia="仿宋_GB2312"/>
                <w:sz w:val="21"/>
              </w:rPr>
              <w:t>ITU测量等功能并保存监测数据。支持扫描监测数据保存回放，监测结果打印。</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信号自动对比分析</w:t>
            </w:r>
          </w:p>
          <w:p>
            <w:pPr>
              <w:pStyle w:val="null3"/>
              <w:ind w:firstLine="420"/>
              <w:jc w:val="both"/>
            </w:pPr>
            <w:r>
              <w:rPr>
                <w:rFonts w:ascii="仿宋_GB2312" w:hAnsi="仿宋_GB2312" w:cs="仿宋_GB2312" w:eastAsia="仿宋_GB2312"/>
                <w:sz w:val="21"/>
              </w:rPr>
              <w:t>扫描过程中自动与数据库比对，判别信号的属性，以颜色标注不同属性的频率，对异常信号进行告警。</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电磁频谱背景自动对比分析</w:t>
            </w:r>
          </w:p>
          <w:p>
            <w:pPr>
              <w:pStyle w:val="null3"/>
              <w:ind w:firstLine="420"/>
              <w:jc w:val="both"/>
            </w:pPr>
            <w:r>
              <w:rPr>
                <w:rFonts w:ascii="仿宋_GB2312" w:hAnsi="仿宋_GB2312" w:cs="仿宋_GB2312" w:eastAsia="仿宋_GB2312"/>
                <w:sz w:val="21"/>
              </w:rPr>
              <w:t>扫描过程可与事先采集的电磁频谱背景样本自动进行对比分析，实时发现新出现的信号，以声音或颜色标注对应频率进行告警。</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多频点中频分析</w:t>
            </w:r>
          </w:p>
          <w:p>
            <w:pPr>
              <w:pStyle w:val="null3"/>
              <w:ind w:firstLine="420"/>
              <w:jc w:val="both"/>
            </w:pPr>
            <w:r>
              <w:rPr>
                <w:rFonts w:ascii="仿宋_GB2312" w:hAnsi="仿宋_GB2312" w:cs="仿宋_GB2312" w:eastAsia="仿宋_GB2312"/>
                <w:sz w:val="21"/>
              </w:rPr>
              <w:t>系统可对多个频率进行中频测量分析，实时测量各频率电平、场强、占用带宽、调制度等，实时显示信号频谱，可设置各频率测量间隔时间。</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声音转文字识别功能</w:t>
            </w:r>
          </w:p>
          <w:p>
            <w:pPr>
              <w:pStyle w:val="null3"/>
              <w:ind w:firstLine="420"/>
              <w:jc w:val="both"/>
            </w:pPr>
            <w:r>
              <w:rPr>
                <w:rFonts w:ascii="仿宋_GB2312" w:hAnsi="仿宋_GB2312" w:cs="仿宋_GB2312" w:eastAsia="仿宋_GB2312"/>
                <w:sz w:val="21"/>
              </w:rPr>
              <w:t>系统支持声音</w:t>
            </w:r>
            <w:r>
              <w:rPr>
                <w:rFonts w:ascii="仿宋_GB2312" w:hAnsi="仿宋_GB2312" w:cs="仿宋_GB2312" w:eastAsia="仿宋_GB2312"/>
                <w:sz w:val="21"/>
              </w:rPr>
              <w:t>实时</w:t>
            </w:r>
            <w:r>
              <w:rPr>
                <w:rFonts w:ascii="仿宋_GB2312" w:hAnsi="仿宋_GB2312" w:cs="仿宋_GB2312" w:eastAsia="仿宋_GB2312"/>
                <w:sz w:val="21"/>
              </w:rPr>
              <w:t>转文字功能，可对关键字进行识别和告警，可对录音信号进行事后声音文字转换。</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信号识别、分析功能</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可识别的调制类型不少于</w:t>
            </w:r>
            <w:r>
              <w:rPr>
                <w:rFonts w:ascii="仿宋_GB2312" w:hAnsi="仿宋_GB2312" w:cs="仿宋_GB2312" w:eastAsia="仿宋_GB2312"/>
                <w:sz w:val="21"/>
              </w:rPr>
              <w:t>CW、AM、FM、2ASK、4ASK、2FSK、4FSK、8FSK、MSK、BPSK、QPSK、DQPSK、π/4DQPSK、8PSK、16PSK、16QAM、32QAM、64QAM、128QAM、256QAM、16APSK、32APSK等。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具有解调和监听</w:t>
            </w:r>
            <w:r>
              <w:rPr>
                <w:rFonts w:ascii="仿宋_GB2312" w:hAnsi="仿宋_GB2312" w:cs="仿宋_GB2312" w:eastAsia="仿宋_GB2312"/>
                <w:sz w:val="21"/>
              </w:rPr>
              <w:t>AM、FM、CW模拟调制信号的能力，支持调频、调幅广播语音解码，支持BPSK、QPSK、8PSK、π/4DQPSK、2FSK、4FSK等数字调制信号解调；</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DMR、DPMR、NXDN主流数字对讲标准通信协议解析，提供PDT、TETRA数字集群解析功能。可自动对已知数字对讲机信号进行调制识别和解调；</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跳频信号监测，基于实时频谱数据的跳频信号发现，输出发现的跳频集以及每个跳频的频率集，包括跳速、信号带宽、占空比、频率。</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脉冲信号监测，基于实时频谱数据的脉冲信号发现，输出频段内发现的所有脉冲信号及相关参数：频率、电平、信噪比、信号带宽、第一次和最后一次测量时间。</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数字对讲监测，可自动对已知数字对讲机信号进行调制识别和解调</w:t>
            </w:r>
            <w:r>
              <w:rPr>
                <w:rFonts w:ascii="仿宋_GB2312" w:hAnsi="仿宋_GB2312" w:cs="仿宋_GB2312" w:eastAsia="仿宋_GB2312"/>
                <w:sz w:val="21"/>
              </w:rPr>
              <w:t>，支持</w:t>
            </w:r>
            <w:r>
              <w:rPr>
                <w:rFonts w:ascii="仿宋_GB2312" w:hAnsi="仿宋_GB2312" w:cs="仿宋_GB2312" w:eastAsia="仿宋_GB2312"/>
                <w:sz w:val="21"/>
              </w:rPr>
              <w:t>DMR、DPMR、NXDN、TETRA、PDT（非加密）主流数字对讲标准通信协议解析，具备语音、色码信息解调能力等</w:t>
            </w:r>
            <w:r>
              <w:rPr>
                <w:rFonts w:ascii="仿宋_GB2312" w:hAnsi="仿宋_GB2312" w:cs="仿宋_GB2312" w:eastAsia="仿宋_GB2312"/>
                <w:sz w:val="21"/>
              </w:rPr>
              <w:t>，均能实时还原话音内容。根据不同制式的数字对讲信号，可分别提供眼图等图形展示内容。</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重点信号数据库，主要包括至少信号名称、典型频谱（存储原始数据，查询是以频谱图展示）、典型波形和备注，频谱和波形数据由数据查询时直接导入，实现了用频无线电设备信号特征的统一管理功能。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监测测向实时并行功能</w:t>
            </w:r>
          </w:p>
          <w:p>
            <w:pPr>
              <w:pStyle w:val="null3"/>
              <w:ind w:firstLine="420"/>
              <w:jc w:val="both"/>
            </w:pPr>
            <w:r>
              <w:rPr>
                <w:rFonts w:ascii="仿宋_GB2312" w:hAnsi="仿宋_GB2312" w:cs="仿宋_GB2312" w:eastAsia="仿宋_GB2312"/>
                <w:sz w:val="21"/>
              </w:rPr>
              <w:t>监测和测向任务可并行运行，实现实时多任务监测。</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）多通道并行监测解调功能</w:t>
            </w:r>
          </w:p>
          <w:p>
            <w:pPr>
              <w:pStyle w:val="null3"/>
              <w:ind w:firstLine="420"/>
              <w:jc w:val="both"/>
            </w:pPr>
            <w:r>
              <w:rPr>
                <w:rFonts w:ascii="仿宋_GB2312" w:hAnsi="仿宋_GB2312" w:cs="仿宋_GB2312" w:eastAsia="仿宋_GB2312"/>
                <w:sz w:val="21"/>
              </w:rPr>
              <w:t>系统提供实时并行的监测通道，该监测通道独立于监测测向通道，具备并行</w:t>
            </w:r>
            <w:r>
              <w:rPr>
                <w:rFonts w:ascii="仿宋_GB2312" w:hAnsi="仿宋_GB2312" w:cs="仿宋_GB2312" w:eastAsia="仿宋_GB2312"/>
                <w:sz w:val="21"/>
              </w:rPr>
              <w:t>IQ</w:t>
            </w:r>
            <w:r>
              <w:rPr>
                <w:rFonts w:ascii="仿宋_GB2312" w:hAnsi="仿宋_GB2312" w:cs="仿宋_GB2312" w:eastAsia="仿宋_GB2312"/>
                <w:sz w:val="21"/>
              </w:rPr>
              <w:t>无损采集、并行信号识别分析以及</w:t>
            </w:r>
            <w:r>
              <w:rPr>
                <w:rFonts w:ascii="仿宋_GB2312" w:hAnsi="仿宋_GB2312" w:cs="仿宋_GB2312" w:eastAsia="仿宋_GB2312"/>
                <w:sz w:val="21"/>
              </w:rPr>
              <w:t>LTE</w:t>
            </w:r>
            <w:r>
              <w:rPr>
                <w:rFonts w:ascii="仿宋_GB2312" w:hAnsi="仿宋_GB2312" w:cs="仿宋_GB2312" w:eastAsia="仿宋_GB2312"/>
                <w:sz w:val="21"/>
              </w:rPr>
              <w:t>、</w:t>
            </w:r>
            <w:r>
              <w:rPr>
                <w:rFonts w:ascii="仿宋_GB2312" w:hAnsi="仿宋_GB2312" w:cs="仿宋_GB2312" w:eastAsia="仿宋_GB2312"/>
                <w:sz w:val="21"/>
              </w:rPr>
              <w:t>5GNR</w:t>
            </w:r>
            <w:r>
              <w:rPr>
                <w:rFonts w:ascii="仿宋_GB2312" w:hAnsi="仿宋_GB2312" w:cs="仿宋_GB2312" w:eastAsia="仿宋_GB2312"/>
                <w:sz w:val="21"/>
              </w:rPr>
              <w:t>等移动通信信号并行解调解码能力，并行监测频率范围应不低于站点频率范围。</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）实时频谱功能</w:t>
            </w:r>
          </w:p>
          <w:p>
            <w:pPr>
              <w:pStyle w:val="null3"/>
              <w:ind w:firstLine="420"/>
              <w:jc w:val="both"/>
            </w:pPr>
            <w:r>
              <w:rPr>
                <w:rFonts w:ascii="仿宋_GB2312" w:hAnsi="仿宋_GB2312" w:cs="仿宋_GB2312" w:eastAsia="仿宋_GB2312"/>
                <w:sz w:val="21"/>
              </w:rPr>
              <w:t>该并行监测通道的实时频谱分析带宽不小于</w:t>
            </w:r>
            <w:r>
              <w:rPr>
                <w:rFonts w:ascii="仿宋_GB2312" w:hAnsi="仿宋_GB2312" w:cs="仿宋_GB2312" w:eastAsia="仿宋_GB2312"/>
                <w:sz w:val="21"/>
              </w:rPr>
              <w:t>120MHz，可通过数字荧光技术实时监测宽带数字信号完整的频谱包络。实时频谱功能下，可捕获弱小信号、查看掩盖在信号中稳定的小信号，能清晰分辨宽频带数字调制移动通信信号内突发同频瞬态干扰，同时捕获侦测时间不大于5ns的信号。</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 xml:space="preserve">5G NR </w:t>
            </w:r>
            <w:r>
              <w:rPr>
                <w:rFonts w:ascii="仿宋_GB2312" w:hAnsi="仿宋_GB2312" w:cs="仿宋_GB2312" w:eastAsia="仿宋_GB2312"/>
                <w:sz w:val="21"/>
              </w:rPr>
              <w:t>同步帧解码功能</w:t>
            </w:r>
          </w:p>
          <w:p>
            <w:pPr>
              <w:pStyle w:val="null3"/>
              <w:ind w:firstLine="420"/>
              <w:jc w:val="both"/>
            </w:pPr>
            <w:r>
              <w:rPr>
                <w:rFonts w:ascii="仿宋_GB2312" w:hAnsi="仿宋_GB2312" w:cs="仿宋_GB2312" w:eastAsia="仿宋_GB2312"/>
                <w:sz w:val="21"/>
              </w:rPr>
              <w:t>该并行监测通道具备</w:t>
            </w:r>
            <w:r>
              <w:rPr>
                <w:rFonts w:ascii="仿宋_GB2312" w:hAnsi="仿宋_GB2312" w:cs="仿宋_GB2312" w:eastAsia="仿宋_GB2312"/>
                <w:sz w:val="21"/>
              </w:rPr>
              <w:t>5G NR信号同步字段解码分析测量功能，包括国家码、运营商码、物理小区ID、扇区ID、波束ID、频率误差、时间偏移、同步资源块（SSB）与解调状态指示等的分析测量，支持5G NR信号可达64波束测量，输出MCC、MNC、RSRP/RSRQ 等指标，兼容 TDD/FDD不同双工类型的设置；且支持下行聚合载波的同步信号解调与性能测量。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具备纳秒级</w:t>
            </w:r>
            <w:r>
              <w:rPr>
                <w:rFonts w:ascii="仿宋_GB2312" w:hAnsi="仿宋_GB2312" w:cs="仿宋_GB2312" w:eastAsia="仿宋_GB2312"/>
                <w:sz w:val="21"/>
              </w:rPr>
              <w:t>GNSS自动校时能力</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系统自检功能</w:t>
            </w:r>
          </w:p>
          <w:p>
            <w:pPr>
              <w:pStyle w:val="null3"/>
              <w:ind w:firstLine="420"/>
              <w:jc w:val="both"/>
            </w:pPr>
            <w:r>
              <w:rPr>
                <w:rFonts w:ascii="仿宋_GB2312" w:hAnsi="仿宋_GB2312" w:cs="仿宋_GB2312" w:eastAsia="仿宋_GB2312"/>
                <w:sz w:val="21"/>
              </w:rPr>
              <w:t>对系统中核心设备进行自检，确认设备是否正常工作或确定设备的故障部位，显示自检结果，实时掌握系统状态。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监测设备需具备万兆光口输出能力与配套局域网传输、存储能力。</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无线电系统专用监测功能</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航空监测功能</w:t>
            </w:r>
          </w:p>
          <w:p>
            <w:pPr>
              <w:pStyle w:val="null3"/>
              <w:ind w:firstLine="420"/>
              <w:jc w:val="both"/>
            </w:pPr>
            <w:r>
              <w:rPr>
                <w:rFonts w:ascii="仿宋_GB2312" w:hAnsi="仿宋_GB2312" w:cs="仿宋_GB2312" w:eastAsia="仿宋_GB2312"/>
                <w:sz w:val="21"/>
              </w:rPr>
              <w:t>通过</w:t>
            </w:r>
            <w:r>
              <w:rPr>
                <w:rFonts w:ascii="仿宋_GB2312" w:hAnsi="仿宋_GB2312" w:cs="仿宋_GB2312" w:eastAsia="仿宋_GB2312"/>
                <w:sz w:val="21"/>
              </w:rPr>
              <w:t>ADS-B信号监测系统，能够自动获取飞机的位置、高度、速度、航向、识别号等信息参数，能够在地图中实时显示飞机的位置及飞机参数、轨迹等。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广播信号监测功能</w:t>
            </w:r>
          </w:p>
          <w:p>
            <w:pPr>
              <w:pStyle w:val="null3"/>
              <w:ind w:firstLine="420"/>
              <w:jc w:val="both"/>
            </w:pPr>
            <w:r>
              <w:rPr>
                <w:rFonts w:ascii="仿宋_GB2312" w:hAnsi="仿宋_GB2312" w:cs="仿宋_GB2312" w:eastAsia="仿宋_GB2312"/>
                <w:sz w:val="21"/>
              </w:rPr>
              <w:t>具备广播电视解调能力，系统支持对广播信号解调，支持对</w:t>
            </w:r>
            <w:r>
              <w:rPr>
                <w:rFonts w:ascii="仿宋_GB2312" w:hAnsi="仿宋_GB2312" w:cs="仿宋_GB2312" w:eastAsia="仿宋_GB2312"/>
                <w:sz w:val="21"/>
              </w:rPr>
              <w:t>DTMB等多种制式地面电视信号的解调分析能力，能够还原其连续图像和语音，实现对播出地面电视信号的图像监视及声音监听。可对电视台站数据进行保存，形成电视台站数据库。</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数字对讲解码功能</w:t>
            </w:r>
          </w:p>
          <w:p>
            <w:pPr>
              <w:pStyle w:val="null3"/>
              <w:ind w:firstLine="420"/>
              <w:jc w:val="both"/>
            </w:pPr>
            <w:r>
              <w:rPr>
                <w:rFonts w:ascii="仿宋_GB2312" w:hAnsi="仿宋_GB2312" w:cs="仿宋_GB2312" w:eastAsia="仿宋_GB2312"/>
                <w:sz w:val="21"/>
              </w:rPr>
              <w:t>具备数字对讲机信号解析功能，支持市场上常见的数字对讲协议和声码器识别（</w:t>
            </w:r>
            <w:r>
              <w:rPr>
                <w:rFonts w:ascii="仿宋_GB2312" w:hAnsi="仿宋_GB2312" w:cs="仿宋_GB2312" w:eastAsia="仿宋_GB2312"/>
                <w:sz w:val="21"/>
              </w:rPr>
              <w:t>DMR，dPMR，NXDN，TETRA，PDT）等。</w:t>
            </w:r>
          </w:p>
          <w:p>
            <w:pPr>
              <w:pStyle w:val="null3"/>
              <w:ind w:firstLine="420"/>
              <w:jc w:val="both"/>
            </w:pPr>
            <w:r>
              <w:rPr>
                <w:rFonts w:ascii="仿宋_GB2312" w:hAnsi="仿宋_GB2312" w:cs="仿宋_GB2312" w:eastAsia="仿宋_GB2312"/>
                <w:sz w:val="21"/>
              </w:rPr>
              <w:t>4）无人机识别功能</w:t>
            </w:r>
          </w:p>
          <w:p>
            <w:pPr>
              <w:pStyle w:val="null3"/>
              <w:ind w:firstLine="420"/>
              <w:jc w:val="both"/>
            </w:pPr>
            <w:r>
              <w:rPr>
                <w:rFonts w:ascii="仿宋_GB2312" w:hAnsi="仿宋_GB2312" w:cs="仿宋_GB2312" w:eastAsia="仿宋_GB2312"/>
                <w:sz w:val="21"/>
              </w:rPr>
              <w:t>具有无人机上下行信号监测和识别功能，以及主流无人机的型号识别功能。</w:t>
            </w:r>
          </w:p>
          <w:p>
            <w:pPr>
              <w:pStyle w:val="null3"/>
              <w:ind w:firstLine="420"/>
              <w:jc w:val="both"/>
            </w:pPr>
            <w:r>
              <w:rPr>
                <w:rFonts w:ascii="仿宋_GB2312" w:hAnsi="仿宋_GB2312" w:cs="仿宋_GB2312" w:eastAsia="仿宋_GB2312"/>
                <w:sz w:val="21"/>
              </w:rPr>
              <w:t>5）可实现分析查找中继台能力</w:t>
            </w:r>
          </w:p>
          <w:p>
            <w:pPr>
              <w:pStyle w:val="null3"/>
              <w:ind w:firstLine="420"/>
              <w:jc w:val="both"/>
            </w:pPr>
            <w:r>
              <w:rPr>
                <w:rFonts w:ascii="仿宋_GB2312" w:hAnsi="仿宋_GB2312" w:cs="仿宋_GB2312" w:eastAsia="仿宋_GB2312"/>
                <w:sz w:val="21"/>
              </w:rPr>
              <w:t>系统通过自动化、智能化的信号处理与数据分析技术，实现对特定频段内中继台信号的快速发现、精确配对、深度解析与综合管理。通过控制监测站频率扫描，找出该频段内可能存在的中继台上下行信号，智能对频，自动区分出上行下行频率。也可以手动输入频率，系统自动找出最匹配的频率组合，并给出以下结果：清晰列出在扫描带宽内发现的有效中继台总数，中继台数量；每对中继台的信号频率：明确标注上行频率（</w:t>
            </w:r>
            <w:r>
              <w:rPr>
                <w:rFonts w:ascii="仿宋_GB2312" w:hAnsi="仿宋_GB2312" w:cs="仿宋_GB2312" w:eastAsia="仿宋_GB2312"/>
                <w:sz w:val="21"/>
              </w:rPr>
              <w:t>Rx）和下行频率（Tx）；分别列出上行和下行链路的上行信号音频编码，下行信号音频编码（包括但不限于CTCSS/DCS编码）；提供每个频率的信号最大值、平均值、最小值（单位：dBm或dBμV），发现时间和信号库对比状态；频谱和瀑布图同时显示功能：支持频谱图和瀑布图二者的同时显示，能够直观分析中继台信号的时频特性。</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测向功能</w:t>
            </w:r>
          </w:p>
          <w:p>
            <w:pPr>
              <w:pStyle w:val="null3"/>
              <w:ind w:firstLine="420"/>
              <w:jc w:val="both"/>
            </w:pPr>
            <w:r>
              <w:rPr>
                <w:rFonts w:ascii="仿宋_GB2312" w:hAnsi="仿宋_GB2312" w:cs="仿宋_GB2312" w:eastAsia="仿宋_GB2312"/>
                <w:sz w:val="21"/>
              </w:rPr>
              <w:t>具备相关干涉仪测向和空间谱估计测向功能，实现多个同频信号分离测向能力。</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中频测向</w:t>
            </w:r>
          </w:p>
          <w:p>
            <w:pPr>
              <w:pStyle w:val="null3"/>
              <w:ind w:firstLine="420"/>
              <w:jc w:val="both"/>
            </w:pPr>
            <w:r>
              <w:rPr>
                <w:rFonts w:ascii="仿宋_GB2312" w:hAnsi="仿宋_GB2312" w:cs="仿宋_GB2312" w:eastAsia="仿宋_GB2312"/>
                <w:sz w:val="21"/>
              </w:rPr>
              <w:t>对信号进行测向，显示信号示向度、频谱和电平，支持在电子地图上绘制示向线。可对测向数据进行存储及回放，能够对过去不少于</w:t>
            </w:r>
            <w:r>
              <w:rPr>
                <w:rFonts w:ascii="仿宋_GB2312" w:hAnsi="仿宋_GB2312" w:cs="仿宋_GB2312" w:eastAsia="仿宋_GB2312"/>
                <w:sz w:val="21"/>
              </w:rPr>
              <w:t>24 小时内出现过的干扰信号进行测向，支持测向数据上报控制中心用于交会定位。具备同频信号分离测向能力，可对不同角度发射的多个同频信号进行分离测向。</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频段搜索测向</w:t>
            </w:r>
          </w:p>
          <w:p>
            <w:pPr>
              <w:pStyle w:val="null3"/>
              <w:ind w:firstLine="420"/>
              <w:jc w:val="both"/>
            </w:pPr>
            <w:r>
              <w:rPr>
                <w:rFonts w:ascii="仿宋_GB2312" w:hAnsi="仿宋_GB2312" w:cs="仿宋_GB2312" w:eastAsia="仿宋_GB2312"/>
                <w:sz w:val="21"/>
              </w:rPr>
              <w:t>对频段按设定的参数进行搜索测向，显示信号示向度和电平，支持测向结果保存。</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离散搜索测向</w:t>
            </w:r>
          </w:p>
          <w:p>
            <w:pPr>
              <w:pStyle w:val="null3"/>
              <w:ind w:firstLine="420"/>
              <w:jc w:val="both"/>
            </w:pPr>
            <w:r>
              <w:rPr>
                <w:rFonts w:ascii="仿宋_GB2312" w:hAnsi="仿宋_GB2312" w:cs="仿宋_GB2312" w:eastAsia="仿宋_GB2312"/>
                <w:sz w:val="21"/>
              </w:rPr>
              <w:t>对多个离散频率按设定的参数进行搜索测向，显示信号示向度和电平，支持测向结果保存。</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FFT宽带测向</w:t>
            </w:r>
          </w:p>
          <w:p>
            <w:pPr>
              <w:pStyle w:val="null3"/>
              <w:ind w:firstLine="420"/>
              <w:jc w:val="both"/>
            </w:pPr>
            <w:r>
              <w:rPr>
                <w:rFonts w:ascii="仿宋_GB2312" w:hAnsi="仿宋_GB2312" w:cs="仿宋_GB2312" w:eastAsia="仿宋_GB2312"/>
                <w:sz w:val="21"/>
              </w:rPr>
              <w:t>系统可对设定频率及带宽范围内的所有频率点进行信号搜索测向，</w:t>
            </w:r>
            <w:r>
              <w:rPr>
                <w:rFonts w:ascii="仿宋_GB2312" w:hAnsi="仿宋_GB2312" w:cs="仿宋_GB2312" w:eastAsia="仿宋_GB2312"/>
                <w:sz w:val="21"/>
              </w:rPr>
              <w:t>具备</w:t>
            </w:r>
            <w:r>
              <w:rPr>
                <w:rFonts w:ascii="仿宋_GB2312" w:hAnsi="仿宋_GB2312" w:cs="仿宋_GB2312" w:eastAsia="仿宋_GB2312"/>
                <w:sz w:val="21"/>
              </w:rPr>
              <w:t>实时宽带测向功能，对突发和跳频信号进行快速测向。通过该功能可以观察信号的频谱情况，同时对测向方位角进行概率统计，给出选中频率的实时方位角和最大概率角度等信息。</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对电平信号值大于设定门限的所有频率点以图形的方式将其示向度表示出来。支持信号示向线在地图上进行交会定位，支持告警信号的显示与报表打印。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信号采集处理及存储功能</w:t>
            </w:r>
          </w:p>
          <w:p>
            <w:pPr>
              <w:pStyle w:val="null3"/>
              <w:ind w:firstLine="420"/>
              <w:jc w:val="both"/>
            </w:pPr>
            <w:r>
              <w:rPr>
                <w:rFonts w:ascii="仿宋_GB2312" w:hAnsi="仿宋_GB2312" w:cs="仿宋_GB2312" w:eastAsia="仿宋_GB2312"/>
                <w:sz w:val="21"/>
              </w:rPr>
              <w:t>系统遵循符合一体化平台要求的监测数据采集、计算、存储、传输能力，具备</w:t>
            </w:r>
            <w:r>
              <w:rPr>
                <w:rFonts w:ascii="仿宋_GB2312" w:hAnsi="仿宋_GB2312" w:cs="仿宋_GB2312" w:eastAsia="仿宋_GB2312"/>
                <w:sz w:val="21"/>
              </w:rPr>
              <w:t>7×24小时持续监测并采集数据的能力</w:t>
            </w:r>
            <w:r>
              <w:rPr>
                <w:rFonts w:ascii="仿宋_GB2312" w:hAnsi="仿宋_GB2312" w:cs="仿宋_GB2312" w:eastAsia="仿宋_GB2312"/>
                <w:sz w:val="21"/>
              </w:rPr>
              <w:t>，</w:t>
            </w:r>
            <w:r>
              <w:rPr>
                <w:rFonts w:ascii="仿宋_GB2312" w:hAnsi="仿宋_GB2312" w:cs="仿宋_GB2312" w:eastAsia="仿宋_GB2312"/>
                <w:sz w:val="21"/>
              </w:rPr>
              <w:t>监测数据统一存放至省监测站信息机房内</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I/Q 数据离线分析</w:t>
            </w:r>
          </w:p>
          <w:p>
            <w:pPr>
              <w:pStyle w:val="null3"/>
              <w:ind w:firstLine="420"/>
              <w:jc w:val="both"/>
            </w:pPr>
            <w:r>
              <w:rPr>
                <w:rFonts w:ascii="仿宋_GB2312" w:hAnsi="仿宋_GB2312" w:cs="仿宋_GB2312" w:eastAsia="仿宋_GB2312"/>
                <w:sz w:val="21"/>
              </w:rPr>
              <w:t>基于存储信号</w:t>
            </w:r>
            <w:r>
              <w:rPr>
                <w:rFonts w:ascii="仿宋_GB2312" w:hAnsi="仿宋_GB2312" w:cs="仿宋_GB2312" w:eastAsia="仿宋_GB2312"/>
                <w:sz w:val="21"/>
              </w:rPr>
              <w:t>I/Q数据，用于事后离线分析，内容包括频率测量、电平测量、占用带宽测量、调制测量等。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监测数据统计分析</w:t>
            </w:r>
          </w:p>
          <w:p>
            <w:pPr>
              <w:pStyle w:val="null3"/>
              <w:ind w:firstLine="420"/>
              <w:jc w:val="both"/>
            </w:pPr>
            <w:r>
              <w:rPr>
                <w:rFonts w:ascii="仿宋_GB2312" w:hAnsi="仿宋_GB2312" w:cs="仿宋_GB2312" w:eastAsia="仿宋_GB2312"/>
                <w:sz w:val="21"/>
              </w:rPr>
              <w:t>可根据监测任务需要生成符合相关技术规范的占用度数据及占用度报表，如信道占用度、频段占用度、监测日报表和监测月报表等。</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数据库管理</w:t>
            </w:r>
          </w:p>
          <w:p>
            <w:pPr>
              <w:pStyle w:val="null3"/>
              <w:ind w:firstLine="420"/>
              <w:jc w:val="both"/>
            </w:pPr>
            <w:r>
              <w:rPr>
                <w:rFonts w:ascii="仿宋_GB2312" w:hAnsi="仿宋_GB2312" w:cs="仿宋_GB2312" w:eastAsia="仿宋_GB2312"/>
                <w:sz w:val="21"/>
              </w:rPr>
              <w:t>系统根据现有台（站）数据库，支持台（站）数据的导入、导出。可对采集的原始数据、样本数据和发现的非法信号、合法不明信号进行存储、入库，方便事后用于信号自动对比分析。</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系统控制与联网功能</w:t>
            </w:r>
          </w:p>
          <w:p>
            <w:pPr>
              <w:pStyle w:val="null3"/>
              <w:ind w:firstLine="420"/>
              <w:jc w:val="both"/>
            </w:pPr>
            <w:r>
              <w:rPr>
                <w:rFonts w:ascii="仿宋_GB2312" w:hAnsi="仿宋_GB2312" w:cs="仿宋_GB2312" w:eastAsia="仿宋_GB2312"/>
                <w:sz w:val="21"/>
              </w:rPr>
              <w:t>系统遵循国家统一的技术标准和规范要求，联网协议符合国家无线电管理一体化平台、超短波监测管理一体化平台相关技术规范要求，支持国家无线电管理有关频率台（站）数据库、监测数据库、地理信息系统等各项技术规范，在设备端按《超短波监测管理</w:t>
            </w:r>
            <w:r>
              <w:rPr>
                <w:rFonts w:ascii="仿宋_GB2312" w:hAnsi="仿宋_GB2312" w:cs="仿宋_GB2312" w:eastAsia="仿宋_GB2312"/>
                <w:sz w:val="21"/>
              </w:rPr>
              <w:t>一体化平台技术</w:t>
            </w:r>
            <w:r>
              <w:rPr>
                <w:rFonts w:ascii="仿宋_GB2312" w:hAnsi="仿宋_GB2312" w:cs="仿宋_GB2312" w:eastAsia="仿宋_GB2312"/>
                <w:sz w:val="21"/>
              </w:rPr>
              <w:t>规范</w:t>
            </w:r>
            <w:r>
              <w:rPr>
                <w:rFonts w:ascii="仿宋_GB2312" w:hAnsi="仿宋_GB2312" w:cs="仿宋_GB2312" w:eastAsia="仿宋_GB2312"/>
                <w:sz w:val="21"/>
              </w:rPr>
              <w:t xml:space="preserve"> </w:t>
            </w:r>
            <w:r>
              <w:rPr>
                <w:rFonts w:ascii="仿宋_GB2312" w:hAnsi="仿宋_GB2312" w:cs="仿宋_GB2312" w:eastAsia="仿宋_GB2312"/>
                <w:sz w:val="21"/>
              </w:rPr>
              <w:t>第</w:t>
            </w:r>
            <w:r>
              <w:rPr>
                <w:rFonts w:ascii="仿宋_GB2312" w:hAnsi="仿宋_GB2312" w:cs="仿宋_GB2312" w:eastAsia="仿宋_GB2312"/>
                <w:sz w:val="21"/>
              </w:rPr>
              <w:t>3部分：设备操作服务</w:t>
            </w:r>
            <w:r>
              <w:rPr>
                <w:rFonts w:ascii="仿宋_GB2312" w:hAnsi="仿宋_GB2312" w:cs="仿宋_GB2312" w:eastAsia="仿宋_GB2312"/>
                <w:sz w:val="21"/>
              </w:rPr>
              <w:t>》对基础监测功能进行原子服务封装，按</w:t>
            </w:r>
            <w:r>
              <w:rPr>
                <w:rFonts w:ascii="仿宋_GB2312" w:hAnsi="仿宋_GB2312" w:cs="仿宋_GB2312" w:eastAsia="仿宋_GB2312"/>
                <w:sz w:val="21"/>
              </w:rPr>
              <w:t>SOA接口方式向一体化平台提供服务，实现与省级无线电管理一体化平台对接，实现跨地域、全业务、全应用的服务、数据、流程和安全管控的信息互通互联。</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供电与防雷接地</w:t>
            </w:r>
          </w:p>
          <w:p>
            <w:pPr>
              <w:pStyle w:val="null3"/>
              <w:ind w:firstLine="420"/>
              <w:jc w:val="both"/>
            </w:pPr>
            <w:r>
              <w:rPr>
                <w:rFonts w:ascii="仿宋_GB2312" w:hAnsi="仿宋_GB2312" w:cs="仿宋_GB2312" w:eastAsia="仿宋_GB2312"/>
                <w:sz w:val="21"/>
              </w:rPr>
              <w:t>固定站建设地点市电容量可满足需求，为防止和减少因市电网络故障、维护和供电指标不稳定导致的监测系统工作中断，在监测站供电系统中还必须配备不间断电源</w:t>
            </w:r>
            <w:r>
              <w:rPr>
                <w:rFonts w:ascii="仿宋_GB2312" w:hAnsi="仿宋_GB2312" w:cs="仿宋_GB2312" w:eastAsia="仿宋_GB2312"/>
                <w:sz w:val="21"/>
              </w:rPr>
              <w:t>UPS系统，该系统具有市电中断后的短时间电力支撑能力，断电持续工作时间≥8小时。</w:t>
            </w:r>
          </w:p>
          <w:p>
            <w:pPr>
              <w:pStyle w:val="null3"/>
              <w:ind w:firstLine="420"/>
              <w:jc w:val="both"/>
            </w:pPr>
            <w:r>
              <w:rPr>
                <w:rFonts w:ascii="仿宋_GB2312" w:hAnsi="仿宋_GB2312" w:cs="仿宋_GB2312" w:eastAsia="仿宋_GB2312"/>
                <w:sz w:val="21"/>
              </w:rPr>
              <w:t>需要对无线电监测测向设备进行直击雷电防护，要求具备提前放电引雷和主动排斥避雷相结合的双重防护措施；通过接地电阻改造使得铁塔下面和周围的接地电阻</w:t>
            </w:r>
            <w:r>
              <w:rPr>
                <w:rFonts w:ascii="仿宋_GB2312" w:hAnsi="仿宋_GB2312" w:cs="仿宋_GB2312" w:eastAsia="仿宋_GB2312"/>
                <w:sz w:val="21"/>
              </w:rPr>
              <w:t>≤4Ω；并在交付时提供由第三方测试的检测报告。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视频监控、火灾预警与环境监控功能</w:t>
            </w:r>
          </w:p>
          <w:p>
            <w:pPr>
              <w:pStyle w:val="null3"/>
              <w:ind w:firstLine="420"/>
              <w:jc w:val="both"/>
            </w:pPr>
            <w:r>
              <w:rPr>
                <w:rFonts w:ascii="仿宋_GB2312" w:hAnsi="仿宋_GB2312" w:cs="仿宋_GB2312" w:eastAsia="仿宋_GB2312"/>
                <w:sz w:val="21"/>
              </w:rPr>
              <w:t>支持通过</w:t>
            </w:r>
            <w:r>
              <w:rPr>
                <w:rFonts w:ascii="仿宋_GB2312" w:hAnsi="仿宋_GB2312" w:cs="仿宋_GB2312" w:eastAsia="仿宋_GB2312"/>
                <w:sz w:val="21"/>
              </w:rPr>
              <w:t>一体化平台</w:t>
            </w:r>
            <w:r>
              <w:rPr>
                <w:rFonts w:ascii="仿宋_GB2312" w:hAnsi="仿宋_GB2312" w:cs="仿宋_GB2312" w:eastAsia="仿宋_GB2312"/>
                <w:sz w:val="21"/>
              </w:rPr>
              <w:t>远程控制监测站设备的开关机。可监测机房环境，包括视频图像、火灾预警（烟雾）、环境（门窗启闭、电压和温湿度），并在异常时进行告警。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网络安全防护功能</w:t>
            </w:r>
          </w:p>
          <w:p>
            <w:pPr>
              <w:pStyle w:val="null3"/>
              <w:ind w:firstLine="420"/>
              <w:jc w:val="both"/>
            </w:pPr>
            <w:r>
              <w:rPr>
                <w:rFonts w:ascii="仿宋_GB2312" w:hAnsi="仿宋_GB2312" w:cs="仿宋_GB2312" w:eastAsia="仿宋_GB2312"/>
                <w:sz w:val="21"/>
              </w:rPr>
              <w:t>采用网络防火墙作为安全隔离节点，有效隔离本监测站点内网与外网（其他单位）安全域，能够有效应对传统网络攻击和未知威胁攻击；能够对非授权设备</w:t>
            </w:r>
            <w:r>
              <w:rPr>
                <w:rFonts w:ascii="仿宋_GB2312" w:hAnsi="仿宋_GB2312" w:cs="仿宋_GB2312" w:eastAsia="仿宋_GB2312"/>
                <w:sz w:val="21"/>
              </w:rPr>
              <w:t>/内部网络用户私自联到本监测站点的行为进行检查，并对其进行有效阻断；系统具有严格的运行授权管理体系，可有效防止非法用户登录和合法用户的越权操作。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电子地图功能</w:t>
            </w:r>
          </w:p>
          <w:p>
            <w:pPr>
              <w:pStyle w:val="null3"/>
              <w:ind w:firstLine="420"/>
              <w:jc w:val="both"/>
            </w:pPr>
            <w:r>
              <w:rPr>
                <w:rFonts w:ascii="仿宋_GB2312" w:hAnsi="仿宋_GB2312" w:cs="仿宋_GB2312" w:eastAsia="仿宋_GB2312"/>
                <w:sz w:val="21"/>
              </w:rPr>
              <w:t>电子地图数据来源及安全处理技术基本要求应符合国家相关标准规范，电子地图具备放大、缩小、漫游、测距、半径测量、鹰眼图等功能</w:t>
            </w:r>
            <w:r>
              <w:rPr>
                <w:rFonts w:ascii="仿宋_GB2312" w:hAnsi="仿宋_GB2312" w:cs="仿宋_GB2312" w:eastAsia="仿宋_GB2312"/>
                <w:sz w:val="21"/>
              </w:rPr>
              <w:t>，</w:t>
            </w:r>
            <w:r>
              <w:rPr>
                <w:rFonts w:ascii="仿宋_GB2312" w:hAnsi="仿宋_GB2312" w:cs="仿宋_GB2312" w:eastAsia="仿宋_GB2312"/>
                <w:sz w:val="21"/>
              </w:rPr>
              <w:t>地图层级至少达到第</w:t>
            </w:r>
            <w:r>
              <w:rPr>
                <w:rFonts w:ascii="仿宋_GB2312" w:hAnsi="仿宋_GB2312" w:cs="仿宋_GB2312" w:eastAsia="仿宋_GB2312"/>
                <w:sz w:val="21"/>
              </w:rPr>
              <w:t>15级</w:t>
            </w:r>
            <w:r>
              <w:rPr>
                <w:rFonts w:ascii="仿宋_GB2312" w:hAnsi="仿宋_GB2312" w:cs="仿宋_GB2312" w:eastAsia="仿宋_GB2312"/>
                <w:sz w:val="21"/>
              </w:rPr>
              <w:t>；可将台站数据库中的台站显示在电子地图上；支持在电子地图上显示台站基本信息，支持按照电子地图的比例进行聚合显示；支持电子地图显示监测站位置、状态等信息，支持从电子地图触发测量任务等。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系统辅助功能</w:t>
            </w:r>
          </w:p>
          <w:p>
            <w:pPr>
              <w:pStyle w:val="null3"/>
              <w:ind w:firstLine="420"/>
              <w:jc w:val="both"/>
            </w:pPr>
            <w:r>
              <w:rPr>
                <w:rFonts w:ascii="仿宋_GB2312" w:hAnsi="仿宋_GB2312" w:cs="仿宋_GB2312" w:eastAsia="仿宋_GB2312"/>
                <w:sz w:val="21"/>
              </w:rPr>
              <w:t>系统提供互调干扰分析、单位换算、无线电业务频率划分表等辅助工具。</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电磁兼容</w:t>
            </w:r>
          </w:p>
          <w:p>
            <w:pPr>
              <w:pStyle w:val="null3"/>
              <w:ind w:firstLine="420"/>
              <w:jc w:val="both"/>
            </w:pPr>
            <w:r>
              <w:rPr>
                <w:rFonts w:ascii="仿宋_GB2312" w:hAnsi="仿宋_GB2312" w:cs="仿宋_GB2312" w:eastAsia="仿宋_GB2312"/>
                <w:sz w:val="21"/>
              </w:rPr>
              <w:t>整套系统应</w:t>
            </w:r>
            <w:r>
              <w:rPr>
                <w:rFonts w:ascii="仿宋_GB2312" w:hAnsi="仿宋_GB2312" w:cs="仿宋_GB2312" w:eastAsia="仿宋_GB2312"/>
                <w:sz w:val="21"/>
              </w:rPr>
              <w:t>根据</w:t>
            </w:r>
            <w:r>
              <w:rPr>
                <w:rFonts w:ascii="仿宋_GB2312" w:hAnsi="仿宋_GB2312" w:cs="仿宋_GB2312" w:eastAsia="仿宋_GB2312"/>
                <w:sz w:val="21"/>
              </w:rPr>
              <w:t>GJB151B-2013</w:t>
            </w:r>
            <w:r>
              <w:rPr>
                <w:rFonts w:ascii="仿宋_GB2312" w:hAnsi="仿宋_GB2312" w:cs="仿宋_GB2312" w:eastAsia="仿宋_GB2312"/>
                <w:sz w:val="21"/>
              </w:rPr>
              <w:t>进行电磁兼容性设计，并对输入、输出的各类线缆进行处理，控制系统对外的电磁发射，避免整套设备对外产生电磁干扰；供货方需在投标文件中提出整套系统的电磁兼容设计方案、电磁兼容指标（满足</w:t>
            </w:r>
            <w:r>
              <w:rPr>
                <w:rFonts w:ascii="仿宋_GB2312" w:hAnsi="仿宋_GB2312" w:cs="仿宋_GB2312" w:eastAsia="仿宋_GB2312"/>
                <w:sz w:val="21"/>
              </w:rPr>
              <w:t>GJB151B-2013标准中RE102项目</w:t>
            </w:r>
            <w:r>
              <w:rPr>
                <w:rFonts w:ascii="仿宋_GB2312" w:hAnsi="仿宋_GB2312" w:cs="仿宋_GB2312" w:eastAsia="仿宋_GB2312"/>
                <w:sz w:val="21"/>
              </w:rPr>
              <w:t>相关要求）、系统组成框图、系统安装示意图、主要硬件连接图，并提供具体测试（验证）方案。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系统安全</w:t>
            </w:r>
          </w:p>
          <w:p>
            <w:pPr>
              <w:pStyle w:val="null3"/>
              <w:ind w:firstLine="420"/>
              <w:jc w:val="both"/>
            </w:pPr>
            <w:r>
              <w:rPr>
                <w:rFonts w:ascii="仿宋_GB2312" w:hAnsi="仿宋_GB2312" w:cs="仿宋_GB2312" w:eastAsia="仿宋_GB2312"/>
                <w:sz w:val="21"/>
              </w:rPr>
              <w:t>整套系统应满足《省级无线电管理一体化平台建设规范及技术要求（</w:t>
            </w:r>
            <w:r>
              <w:rPr>
                <w:rFonts w:ascii="仿宋_GB2312" w:hAnsi="仿宋_GB2312" w:cs="仿宋_GB2312" w:eastAsia="仿宋_GB2312"/>
                <w:sz w:val="21"/>
              </w:rPr>
              <w:t>2024版）》【征求意见稿】的要求：“所有新购置的台式机、一体机、便携式（含桌面终端、笔记本、工控机等）、服务器（含超融合）、数据库、操作系统、工作站等七类产品，配置的CPU、数据库（关系型）和操作系统三类核心技术部件底座须选用信创产品”的原则开展建设，即须具备适配“信创CPU+信创操作系统+信创数据库”的能力”。</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.3技术指标</w:t>
            </w:r>
          </w:p>
          <w:p>
            <w:pPr>
              <w:pStyle w:val="null3"/>
              <w:ind w:firstLine="420"/>
              <w:jc w:val="both"/>
            </w:pPr>
            <w:r>
              <w:rPr>
                <w:rFonts w:ascii="仿宋_GB2312" w:hAnsi="仿宋_GB2312" w:cs="仿宋_GB2312" w:eastAsia="仿宋_GB2312"/>
                <w:sz w:val="21"/>
              </w:rPr>
              <w:t>系统指标等于或高于最新</w:t>
            </w:r>
            <w:r>
              <w:rPr>
                <w:rFonts w:ascii="仿宋_GB2312" w:hAnsi="仿宋_GB2312" w:cs="仿宋_GB2312" w:eastAsia="仿宋_GB2312"/>
                <w:sz w:val="21"/>
              </w:rPr>
              <w:t>二</w:t>
            </w:r>
            <w:r>
              <w:rPr>
                <w:rFonts w:ascii="仿宋_GB2312" w:hAnsi="仿宋_GB2312" w:cs="仿宋_GB2312" w:eastAsia="仿宋_GB2312"/>
                <w:sz w:val="21"/>
              </w:rPr>
              <w:t>类固定监测站指标。</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1）监测系统技术指标</w:t>
            </w:r>
          </w:p>
          <w:p>
            <w:pPr>
              <w:pStyle w:val="null3"/>
              <w:ind w:firstLine="420"/>
              <w:jc w:val="both"/>
            </w:pPr>
            <w:r>
              <w:rPr>
                <w:rFonts w:ascii="仿宋_GB2312" w:hAnsi="仿宋_GB2312" w:cs="仿宋_GB2312" w:eastAsia="仿宋_GB2312"/>
                <w:sz w:val="21"/>
              </w:rPr>
              <w:t>监测频率范围：</w:t>
            </w:r>
            <w:r>
              <w:rPr>
                <w:rFonts w:ascii="仿宋_GB2312" w:hAnsi="仿宋_GB2312" w:cs="仿宋_GB2312" w:eastAsia="仿宋_GB2312"/>
                <w:sz w:val="21"/>
              </w:rPr>
              <w:t>20MHz</w:t>
            </w:r>
            <w:r>
              <w:rPr>
                <w:rFonts w:ascii="仿宋_GB2312" w:hAnsi="仿宋_GB2312" w:cs="仿宋_GB2312" w:eastAsia="仿宋_GB2312"/>
                <w:sz w:val="21"/>
              </w:rPr>
              <w:t>～</w:t>
            </w:r>
            <w:r>
              <w:rPr>
                <w:rFonts w:ascii="仿宋_GB2312" w:hAnsi="仿宋_GB2312" w:cs="仿宋_GB2312" w:eastAsia="仿宋_GB2312"/>
                <w:sz w:val="21"/>
              </w:rPr>
              <w:t>18000MHz；</w:t>
            </w:r>
          </w:p>
          <w:p>
            <w:pPr>
              <w:pStyle w:val="null3"/>
              <w:ind w:firstLine="420"/>
              <w:jc w:val="both"/>
            </w:pPr>
            <w:r>
              <w:rPr>
                <w:rFonts w:ascii="仿宋_GB2312" w:hAnsi="仿宋_GB2312" w:cs="仿宋_GB2312" w:eastAsia="仿宋_GB2312"/>
                <w:sz w:val="21"/>
              </w:rPr>
              <w:t>▲监测系统灵敏度：≤10dBμV/m（20MHz ～ 3000MHz）；</w:t>
            </w:r>
          </w:p>
          <w:p>
            <w:pPr>
              <w:pStyle w:val="null3"/>
              <w:ind w:firstLine="2100"/>
              <w:jc w:val="both"/>
            </w:pPr>
            <w:r>
              <w:rPr>
                <w:rFonts w:ascii="仿宋_GB2312" w:hAnsi="仿宋_GB2312" w:cs="仿宋_GB2312" w:eastAsia="仿宋_GB2312"/>
                <w:sz w:val="21"/>
              </w:rPr>
              <w:t>≤15dBμV/m（3</w:t>
            </w:r>
            <w:r>
              <w:rPr>
                <w:rFonts w:ascii="仿宋_GB2312" w:hAnsi="仿宋_GB2312" w:cs="仿宋_GB2312" w:eastAsia="仿宋_GB2312"/>
                <w:sz w:val="21"/>
              </w:rPr>
              <w:t>000</w:t>
            </w:r>
            <w:r>
              <w:rPr>
                <w:rFonts w:ascii="仿宋_GB2312" w:hAnsi="仿宋_GB2312" w:cs="仿宋_GB2312" w:eastAsia="仿宋_GB2312"/>
                <w:sz w:val="21"/>
              </w:rPr>
              <w:t xml:space="preserve">MHz ～ </w:t>
            </w:r>
            <w:r>
              <w:rPr>
                <w:rFonts w:ascii="仿宋_GB2312" w:hAnsi="仿宋_GB2312" w:cs="仿宋_GB2312" w:eastAsia="仿宋_GB2312"/>
                <w:sz w:val="21"/>
              </w:rPr>
              <w:t>8</w:t>
            </w:r>
            <w:r>
              <w:rPr>
                <w:rFonts w:ascii="仿宋_GB2312" w:hAnsi="仿宋_GB2312" w:cs="仿宋_GB2312" w:eastAsia="仿宋_GB2312"/>
                <w:sz w:val="21"/>
              </w:rPr>
              <w:t>000MHz）；</w:t>
            </w:r>
          </w:p>
          <w:p>
            <w:pPr>
              <w:pStyle w:val="null3"/>
              <w:ind w:firstLine="2100"/>
              <w:jc w:val="both"/>
            </w:pPr>
            <w:r>
              <w:rPr>
                <w:rFonts w:ascii="仿宋_GB2312" w:hAnsi="仿宋_GB2312" w:cs="仿宋_GB2312" w:eastAsia="仿宋_GB2312"/>
                <w:sz w:val="21"/>
              </w:rPr>
              <w:t>≤20dBμV/m（</w:t>
            </w:r>
            <w:r>
              <w:rPr>
                <w:rFonts w:ascii="仿宋_GB2312" w:hAnsi="仿宋_GB2312" w:cs="仿宋_GB2312" w:eastAsia="仿宋_GB2312"/>
                <w:sz w:val="21"/>
              </w:rPr>
              <w:t>8000</w:t>
            </w:r>
            <w:r>
              <w:rPr>
                <w:rFonts w:ascii="仿宋_GB2312" w:hAnsi="仿宋_GB2312" w:cs="仿宋_GB2312" w:eastAsia="仿宋_GB2312"/>
                <w:sz w:val="21"/>
              </w:rPr>
              <w:t>MHz ～ 18000MHz）</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2）测向系统技术指标</w:t>
            </w:r>
          </w:p>
          <w:p>
            <w:pPr>
              <w:pStyle w:val="null3"/>
              <w:ind w:firstLine="420"/>
              <w:jc w:val="both"/>
            </w:pPr>
            <w:r>
              <w:rPr>
                <w:rFonts w:ascii="仿宋_GB2312" w:hAnsi="仿宋_GB2312" w:cs="仿宋_GB2312" w:eastAsia="仿宋_GB2312"/>
                <w:sz w:val="21"/>
              </w:rPr>
              <w:t>测向频率范围：垂直极化：</w:t>
            </w:r>
            <w:r>
              <w:rPr>
                <w:rFonts w:ascii="仿宋_GB2312" w:hAnsi="仿宋_GB2312" w:cs="仿宋_GB2312" w:eastAsia="仿宋_GB2312"/>
                <w:sz w:val="21"/>
              </w:rPr>
              <w:t>2</w:t>
            </w:r>
            <w:r>
              <w:rPr>
                <w:rFonts w:ascii="仿宋_GB2312" w:hAnsi="仿宋_GB2312" w:cs="仿宋_GB2312" w:eastAsia="仿宋_GB2312"/>
                <w:sz w:val="21"/>
              </w:rPr>
              <w:t>0MHz～8000MHz</w:t>
            </w:r>
            <w:r>
              <w:rPr>
                <w:rFonts w:ascii="仿宋_GB2312" w:hAnsi="仿宋_GB2312" w:cs="仿宋_GB2312" w:eastAsia="仿宋_GB2312"/>
                <w:sz w:val="21"/>
              </w:rPr>
              <w:t>；</w:t>
            </w:r>
          </w:p>
          <w:p>
            <w:pPr>
              <w:pStyle w:val="null3"/>
              <w:ind w:firstLine="1890"/>
              <w:jc w:val="both"/>
            </w:pPr>
            <w:r>
              <w:rPr>
                <w:rFonts w:ascii="仿宋_GB2312" w:hAnsi="仿宋_GB2312" w:cs="仿宋_GB2312" w:eastAsia="仿宋_GB2312"/>
                <w:sz w:val="21"/>
              </w:rPr>
              <w:t>水平极化：</w:t>
            </w:r>
            <w:r>
              <w:rPr>
                <w:rFonts w:ascii="仿宋_GB2312" w:hAnsi="仿宋_GB2312" w:cs="仿宋_GB2312" w:eastAsia="仿宋_GB2312"/>
                <w:sz w:val="21"/>
              </w:rPr>
              <w:t>40MHz～1300MHz</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测向灵敏</w:t>
            </w:r>
            <w:r>
              <w:rPr>
                <w:rFonts w:ascii="仿宋_GB2312" w:hAnsi="仿宋_GB2312" w:cs="仿宋_GB2312" w:eastAsia="仿宋_GB2312"/>
                <w:sz w:val="21"/>
              </w:rPr>
              <w:t>度：</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dBμV/m（</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MHz</w:t>
            </w:r>
            <w:r>
              <w:rPr>
                <w:rFonts w:ascii="仿宋_GB2312" w:hAnsi="仿宋_GB2312" w:cs="仿宋_GB2312" w:eastAsia="仿宋_GB2312"/>
                <w:sz w:val="21"/>
              </w:rPr>
              <w:t>～</w:t>
            </w:r>
            <w:r>
              <w:rPr>
                <w:rFonts w:ascii="仿宋_GB2312" w:hAnsi="仿宋_GB2312" w:cs="仿宋_GB2312" w:eastAsia="仿宋_GB2312"/>
                <w:sz w:val="21"/>
              </w:rPr>
              <w:t>3000MHz）</w:t>
            </w:r>
            <w:r>
              <w:rPr>
                <w:rFonts w:ascii="仿宋_GB2312" w:hAnsi="仿宋_GB2312" w:cs="仿宋_GB2312" w:eastAsia="仿宋_GB2312"/>
                <w:sz w:val="21"/>
              </w:rPr>
              <w:t>；</w:t>
            </w:r>
          </w:p>
          <w:p>
            <w:pPr>
              <w:pStyle w:val="null3"/>
              <w:ind w:firstLine="1680"/>
              <w:jc w:val="both"/>
            </w:pP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dBμV/m（3</w:t>
            </w:r>
            <w:r>
              <w:rPr>
                <w:rFonts w:ascii="仿宋_GB2312" w:hAnsi="仿宋_GB2312" w:cs="仿宋_GB2312" w:eastAsia="仿宋_GB2312"/>
                <w:sz w:val="21"/>
              </w:rPr>
              <w:t>000</w:t>
            </w:r>
            <w:r>
              <w:rPr>
                <w:rFonts w:ascii="仿宋_GB2312" w:hAnsi="仿宋_GB2312" w:cs="仿宋_GB2312" w:eastAsia="仿宋_GB2312"/>
                <w:sz w:val="21"/>
              </w:rPr>
              <w:t>MHz</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000M</w:t>
            </w:r>
            <w:r>
              <w:rPr>
                <w:rFonts w:ascii="仿宋_GB2312" w:hAnsi="仿宋_GB2312" w:cs="仿宋_GB2312" w:eastAsia="仿宋_GB2312"/>
                <w:sz w:val="21"/>
              </w:rPr>
              <w:t>Hz）</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测向准确度：</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MHz</w:t>
            </w:r>
            <w:r>
              <w:rPr>
                <w:rFonts w:ascii="仿宋_GB2312" w:hAnsi="仿宋_GB2312" w:cs="仿宋_GB2312" w:eastAsia="仿宋_GB2312"/>
                <w:sz w:val="21"/>
              </w:rPr>
              <w:t>～</w:t>
            </w:r>
            <w:r>
              <w:rPr>
                <w:rFonts w:ascii="仿宋_GB2312" w:hAnsi="仿宋_GB2312" w:cs="仿宋_GB2312" w:eastAsia="仿宋_GB2312"/>
                <w:sz w:val="21"/>
              </w:rPr>
              <w:t>3000MHz,R.M.S，无反射环境）</w:t>
            </w:r>
            <w:r>
              <w:rPr>
                <w:rFonts w:ascii="仿宋_GB2312" w:hAnsi="仿宋_GB2312" w:cs="仿宋_GB2312" w:eastAsia="仿宋_GB2312"/>
                <w:sz w:val="21"/>
              </w:rPr>
              <w:t>；</w:t>
            </w:r>
          </w:p>
          <w:p>
            <w:pPr>
              <w:pStyle w:val="null3"/>
              <w:ind w:firstLine="1680"/>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°（3</w:t>
            </w:r>
            <w:r>
              <w:rPr>
                <w:rFonts w:ascii="仿宋_GB2312" w:hAnsi="仿宋_GB2312" w:cs="仿宋_GB2312" w:eastAsia="仿宋_GB2312"/>
                <w:sz w:val="21"/>
              </w:rPr>
              <w:t>000</w:t>
            </w:r>
            <w:r>
              <w:rPr>
                <w:rFonts w:ascii="仿宋_GB2312" w:hAnsi="仿宋_GB2312" w:cs="仿宋_GB2312" w:eastAsia="仿宋_GB2312"/>
                <w:sz w:val="21"/>
              </w:rPr>
              <w:t>MHz</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000M</w:t>
            </w:r>
            <w:r>
              <w:rPr>
                <w:rFonts w:ascii="仿宋_GB2312" w:hAnsi="仿宋_GB2312" w:cs="仿宋_GB2312" w:eastAsia="仿宋_GB2312"/>
                <w:sz w:val="21"/>
              </w:rPr>
              <w:t>Hz，R.M.S，无反射环境）</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▲测向时效</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ms（单次突发信号</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MHz</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000M</w:t>
            </w:r>
            <w:r>
              <w:rPr>
                <w:rFonts w:ascii="仿宋_GB2312" w:hAnsi="仿宋_GB2312" w:cs="仿宋_GB2312" w:eastAsia="仿宋_GB2312"/>
                <w:sz w:val="21"/>
              </w:rPr>
              <w:t>Hz）</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同频</w:t>
            </w:r>
            <w:r>
              <w:rPr>
                <w:rFonts w:ascii="仿宋_GB2312" w:hAnsi="仿宋_GB2312" w:cs="仿宋_GB2312" w:eastAsia="仿宋_GB2312"/>
                <w:sz w:val="21"/>
              </w:rPr>
              <w:t>非相干信号</w:t>
            </w:r>
            <w:r>
              <w:rPr>
                <w:rFonts w:ascii="仿宋_GB2312" w:hAnsi="仿宋_GB2312" w:cs="仿宋_GB2312" w:eastAsia="仿宋_GB2312"/>
                <w:sz w:val="21"/>
              </w:rPr>
              <w:t>分离个数：</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D/λ＞1</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MHz</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000M</w:t>
            </w:r>
            <w:r>
              <w:rPr>
                <w:rFonts w:ascii="仿宋_GB2312" w:hAnsi="仿宋_GB2312" w:cs="仿宋_GB2312" w:eastAsia="仿宋_GB2312"/>
                <w:sz w:val="21"/>
              </w:rPr>
              <w:t>Hz</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同频相干信号分离个数：</w:t>
            </w:r>
            <w:r>
              <w:rPr>
                <w:rFonts w:ascii="仿宋_GB2312" w:hAnsi="仿宋_GB2312" w:cs="仿宋_GB2312" w:eastAsia="仿宋_GB2312"/>
                <w:sz w:val="21"/>
              </w:rPr>
              <w:t>2个（</w:t>
            </w: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MHz</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000M</w:t>
            </w:r>
            <w:r>
              <w:rPr>
                <w:rFonts w:ascii="仿宋_GB2312" w:hAnsi="仿宋_GB2312" w:cs="仿宋_GB2312" w:eastAsia="仿宋_GB2312"/>
                <w:sz w:val="21"/>
              </w:rPr>
              <w:t>Hz</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最小同频信号分辨角度：</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D/λ＞1</w:t>
            </w:r>
            <w:r>
              <w:rPr>
                <w:rFonts w:ascii="仿宋_GB2312" w:hAnsi="仿宋_GB2312" w:cs="仿宋_GB2312" w:eastAsia="仿宋_GB2312"/>
                <w:sz w:val="21"/>
              </w:rPr>
              <w:t>，</w:t>
            </w:r>
            <w:r>
              <w:rPr>
                <w:rFonts w:ascii="仿宋_GB2312" w:hAnsi="仿宋_GB2312" w:cs="仿宋_GB2312" w:eastAsia="仿宋_GB2312"/>
                <w:sz w:val="21"/>
              </w:rPr>
              <w:t>非相干信号</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MHz</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000M</w:t>
            </w:r>
            <w:r>
              <w:rPr>
                <w:rFonts w:ascii="仿宋_GB2312" w:hAnsi="仿宋_GB2312" w:cs="仿宋_GB2312" w:eastAsia="仿宋_GB2312"/>
                <w:sz w:val="21"/>
              </w:rPr>
              <w:t>Hz</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实时测向带宽：</w:t>
            </w:r>
            <w:r>
              <w:rPr>
                <w:rFonts w:ascii="仿宋_GB2312" w:hAnsi="仿宋_GB2312" w:cs="仿宋_GB2312" w:eastAsia="仿宋_GB2312"/>
                <w:sz w:val="21"/>
              </w:rPr>
              <w:t>≥</w:t>
            </w:r>
            <w:r>
              <w:rPr>
                <w:rFonts w:ascii="仿宋_GB2312" w:hAnsi="仿宋_GB2312" w:cs="仿宋_GB2312" w:eastAsia="仿宋_GB2312"/>
                <w:sz w:val="21"/>
              </w:rPr>
              <w:t>80MHz；</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3）监测接收机技术指标</w:t>
            </w:r>
          </w:p>
          <w:p>
            <w:pPr>
              <w:pStyle w:val="null3"/>
              <w:ind w:firstLine="420"/>
              <w:jc w:val="both"/>
            </w:pPr>
            <w:r>
              <w:rPr>
                <w:rFonts w:ascii="仿宋_GB2312" w:hAnsi="仿宋_GB2312" w:cs="仿宋_GB2312" w:eastAsia="仿宋_GB2312"/>
                <w:sz w:val="21"/>
              </w:rPr>
              <w:t>工作频率范围：</w:t>
            </w:r>
            <w:r>
              <w:rPr>
                <w:rFonts w:ascii="仿宋_GB2312" w:hAnsi="仿宋_GB2312" w:cs="仿宋_GB2312" w:eastAsia="仿宋_GB2312"/>
                <w:sz w:val="21"/>
              </w:rPr>
              <w:t>20MHz～18000MHz；</w:t>
            </w:r>
          </w:p>
          <w:p>
            <w:pPr>
              <w:pStyle w:val="null3"/>
              <w:ind w:firstLine="420"/>
              <w:jc w:val="both"/>
            </w:pPr>
            <w:r>
              <w:rPr>
                <w:rFonts w:ascii="仿宋_GB2312" w:hAnsi="仿宋_GB2312" w:cs="仿宋_GB2312" w:eastAsia="仿宋_GB2312"/>
                <w:sz w:val="21"/>
              </w:rPr>
              <w:t>频率</w:t>
            </w:r>
            <w:r>
              <w:rPr>
                <w:rFonts w:ascii="仿宋_GB2312" w:hAnsi="仿宋_GB2312" w:cs="仿宋_GB2312" w:eastAsia="仿宋_GB2312"/>
                <w:sz w:val="21"/>
              </w:rPr>
              <w:t>测量精度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3×10</w:t>
            </w:r>
            <w:r>
              <w:rPr>
                <w:rFonts w:ascii="仿宋_GB2312" w:hAnsi="仿宋_GB2312" w:cs="仿宋_GB2312" w:eastAsia="仿宋_GB2312"/>
                <w:sz w:val="21"/>
                <w:vertAlign w:val="superscript"/>
              </w:rPr>
              <w:t>-7</w:t>
            </w:r>
            <w:r>
              <w:rPr>
                <w:rFonts w:ascii="仿宋_GB2312" w:hAnsi="仿宋_GB2312" w:cs="仿宋_GB2312" w:eastAsia="仿宋_GB2312"/>
                <w:sz w:val="21"/>
                <w:vertAlign w:val="superscript"/>
              </w:rPr>
              <w:t>；</w:t>
            </w:r>
          </w:p>
          <w:p>
            <w:pPr>
              <w:pStyle w:val="null3"/>
              <w:ind w:firstLine="420"/>
              <w:jc w:val="both"/>
            </w:pPr>
            <w:r>
              <w:rPr>
                <w:rFonts w:ascii="仿宋_GB2312" w:hAnsi="仿宋_GB2312" w:cs="仿宋_GB2312" w:eastAsia="仿宋_GB2312"/>
                <w:sz w:val="21"/>
              </w:rPr>
              <w:t>设备监测灵敏度：</w:t>
            </w:r>
            <w:r>
              <w:rPr>
                <w:rFonts w:ascii="仿宋_GB2312" w:hAnsi="仿宋_GB2312" w:cs="仿宋_GB2312" w:eastAsia="仿宋_GB2312"/>
                <w:sz w:val="21"/>
              </w:rPr>
              <w:t>≤</w:t>
            </w:r>
            <w:r>
              <w:rPr>
                <w:rFonts w:ascii="仿宋_GB2312" w:hAnsi="仿宋_GB2312" w:cs="仿宋_GB2312" w:eastAsia="仿宋_GB2312"/>
                <w:sz w:val="21"/>
              </w:rPr>
              <w:t>-105dBm（带宽25kHz）；</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相位噪声：</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0dBc/Hz@10KHz（射频1GHz处）</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噪声系数：</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dB（20</w:t>
            </w:r>
            <w:r>
              <w:rPr>
                <w:rFonts w:ascii="仿宋_GB2312" w:hAnsi="仿宋_GB2312" w:cs="仿宋_GB2312" w:eastAsia="仿宋_GB2312"/>
                <w:sz w:val="21"/>
              </w:rPr>
              <w:t>MHz</w:t>
            </w:r>
            <w:r>
              <w:rPr>
                <w:rFonts w:ascii="仿宋_GB2312" w:hAnsi="仿宋_GB2312" w:cs="仿宋_GB2312" w:eastAsia="仿宋_GB2312"/>
                <w:sz w:val="21"/>
              </w:rPr>
              <w:t xml:space="preserve"> </w:t>
            </w:r>
            <w:r>
              <w:rPr>
                <w:rFonts w:ascii="仿宋_GB2312" w:hAnsi="仿宋_GB2312" w:cs="仿宋_GB2312" w:eastAsia="仿宋_GB2312"/>
                <w:sz w:val="21"/>
              </w:rPr>
              <w:t>~ 3000MHz</w:t>
            </w:r>
            <w:r>
              <w:rPr>
                <w:rFonts w:ascii="仿宋_GB2312" w:hAnsi="仿宋_GB2312" w:cs="仿宋_GB2312" w:eastAsia="仿宋_GB2312"/>
                <w:sz w:val="21"/>
              </w:rPr>
              <w:t>，</w:t>
            </w:r>
            <w:r>
              <w:rPr>
                <w:rFonts w:ascii="仿宋_GB2312" w:hAnsi="仿宋_GB2312" w:cs="仿宋_GB2312" w:eastAsia="仿宋_GB2312"/>
                <w:sz w:val="21"/>
              </w:rPr>
              <w:t>低噪声模式</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1470"/>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dB（3</w:t>
            </w:r>
            <w:r>
              <w:rPr>
                <w:rFonts w:ascii="仿宋_GB2312" w:hAnsi="仿宋_GB2312" w:cs="仿宋_GB2312" w:eastAsia="仿宋_GB2312"/>
                <w:sz w:val="21"/>
              </w:rPr>
              <w:t>000</w:t>
            </w:r>
            <w:r>
              <w:rPr>
                <w:rFonts w:ascii="仿宋_GB2312" w:hAnsi="仿宋_GB2312" w:cs="仿宋_GB2312" w:eastAsia="仿宋_GB2312"/>
                <w:sz w:val="21"/>
              </w:rPr>
              <w:t>MHz</w:t>
            </w:r>
            <w:r>
              <w:rPr>
                <w:rFonts w:ascii="仿宋_GB2312" w:hAnsi="仿宋_GB2312" w:cs="仿宋_GB2312" w:eastAsia="仿宋_GB2312"/>
                <w:sz w:val="21"/>
              </w:rPr>
              <w:t xml:space="preserve"> </w:t>
            </w:r>
            <w:r>
              <w:rPr>
                <w:rFonts w:ascii="仿宋_GB2312" w:hAnsi="仿宋_GB2312" w:cs="仿宋_GB2312" w:eastAsia="仿宋_GB2312"/>
                <w:sz w:val="21"/>
              </w:rPr>
              <w:t>~ 8000MHz</w:t>
            </w:r>
            <w:r>
              <w:rPr>
                <w:rFonts w:ascii="仿宋_GB2312" w:hAnsi="仿宋_GB2312" w:cs="仿宋_GB2312" w:eastAsia="仿宋_GB2312"/>
                <w:sz w:val="21"/>
              </w:rPr>
              <w:t>，</w:t>
            </w:r>
            <w:r>
              <w:rPr>
                <w:rFonts w:ascii="仿宋_GB2312" w:hAnsi="仿宋_GB2312" w:cs="仿宋_GB2312" w:eastAsia="仿宋_GB2312"/>
                <w:sz w:val="21"/>
              </w:rPr>
              <w:t>低噪声模式</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1470"/>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dB（</w:t>
            </w:r>
            <w:r>
              <w:rPr>
                <w:rFonts w:ascii="仿宋_GB2312" w:hAnsi="仿宋_GB2312" w:cs="仿宋_GB2312" w:eastAsia="仿宋_GB2312"/>
                <w:sz w:val="21"/>
              </w:rPr>
              <w:t>8000</w:t>
            </w:r>
            <w:r>
              <w:rPr>
                <w:rFonts w:ascii="仿宋_GB2312" w:hAnsi="仿宋_GB2312" w:cs="仿宋_GB2312" w:eastAsia="仿宋_GB2312"/>
                <w:sz w:val="21"/>
              </w:rPr>
              <w:t>MHz</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8000MHz</w:t>
            </w:r>
            <w:r>
              <w:rPr>
                <w:rFonts w:ascii="仿宋_GB2312" w:hAnsi="仿宋_GB2312" w:cs="仿宋_GB2312" w:eastAsia="仿宋_GB2312"/>
                <w:sz w:val="21"/>
              </w:rPr>
              <w:t>，</w:t>
            </w:r>
            <w:r>
              <w:rPr>
                <w:rFonts w:ascii="仿宋_GB2312" w:hAnsi="仿宋_GB2312" w:cs="仿宋_GB2312" w:eastAsia="仿宋_GB2312"/>
                <w:sz w:val="21"/>
              </w:rPr>
              <w:t>低噪声模式</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中频抑制（典型值）：</w:t>
            </w:r>
            <w:r>
              <w:rPr>
                <w:rFonts w:ascii="仿宋_GB2312" w:hAnsi="仿宋_GB2312" w:cs="仿宋_GB2312" w:eastAsia="仿宋_GB2312"/>
                <w:sz w:val="21"/>
              </w:rPr>
              <w:t>≥90dB</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镜频抑制（典型值）：</w:t>
            </w:r>
            <w:r>
              <w:rPr>
                <w:rFonts w:ascii="仿宋_GB2312" w:hAnsi="仿宋_GB2312" w:cs="仿宋_GB2312" w:eastAsia="仿宋_GB2312"/>
                <w:sz w:val="21"/>
              </w:rPr>
              <w:t>≥90dB</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二阶截断点：</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0dBm（低失真模式，中</w:t>
            </w:r>
            <w:r>
              <w:rPr>
                <w:rFonts w:ascii="仿宋_GB2312" w:hAnsi="仿宋_GB2312" w:cs="仿宋_GB2312" w:eastAsia="仿宋_GB2312"/>
                <w:sz w:val="21"/>
              </w:rPr>
              <w:t>频</w:t>
            </w:r>
            <w:r>
              <w:rPr>
                <w:rFonts w:ascii="仿宋_GB2312" w:hAnsi="仿宋_GB2312" w:cs="仿宋_GB2312" w:eastAsia="仿宋_GB2312"/>
                <w:sz w:val="21"/>
              </w:rPr>
              <w:t>带宽</w:t>
            </w:r>
            <w:r>
              <w:rPr>
                <w:rFonts w:ascii="仿宋_GB2312" w:hAnsi="仿宋_GB2312" w:cs="仿宋_GB2312" w:eastAsia="仿宋_GB2312"/>
                <w:sz w:val="21"/>
              </w:rPr>
              <w:t>20MHz）</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三阶截断点：</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0dBm（低失真模式，中</w:t>
            </w:r>
            <w:r>
              <w:rPr>
                <w:rFonts w:ascii="仿宋_GB2312" w:hAnsi="仿宋_GB2312" w:cs="仿宋_GB2312" w:eastAsia="仿宋_GB2312"/>
                <w:sz w:val="21"/>
              </w:rPr>
              <w:t>频</w:t>
            </w:r>
            <w:r>
              <w:rPr>
                <w:rFonts w:ascii="仿宋_GB2312" w:hAnsi="仿宋_GB2312" w:cs="仿宋_GB2312" w:eastAsia="仿宋_GB2312"/>
                <w:sz w:val="21"/>
              </w:rPr>
              <w:t>带宽</w:t>
            </w:r>
            <w:r>
              <w:rPr>
                <w:rFonts w:ascii="仿宋_GB2312" w:hAnsi="仿宋_GB2312" w:cs="仿宋_GB2312" w:eastAsia="仿宋_GB2312"/>
                <w:sz w:val="21"/>
              </w:rPr>
              <w:t>20MHz）</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中频带宽：</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0MHz</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▲扫描速度：≥</w:t>
            </w:r>
            <w:r>
              <w:rPr>
                <w:rFonts w:ascii="仿宋_GB2312" w:hAnsi="仿宋_GB2312" w:cs="仿宋_GB2312" w:eastAsia="仿宋_GB2312"/>
                <w:sz w:val="21"/>
              </w:rPr>
              <w:t>10</w:t>
            </w:r>
            <w:r>
              <w:rPr>
                <w:rFonts w:ascii="仿宋_GB2312" w:hAnsi="仿宋_GB2312" w:cs="仿宋_GB2312" w:eastAsia="仿宋_GB2312"/>
                <w:sz w:val="21"/>
              </w:rPr>
              <w:t>0GHz/s，25kHz步进</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无杂散动态范围（</w:t>
            </w:r>
            <w:r>
              <w:rPr>
                <w:rFonts w:ascii="仿宋_GB2312" w:hAnsi="仿宋_GB2312" w:cs="仿宋_GB2312" w:eastAsia="仿宋_GB2312"/>
                <w:sz w:val="21"/>
              </w:rPr>
              <w:t>SFDR）：≥70dBc（典型值，至少80%的测试点满足要求）；</w:t>
            </w:r>
          </w:p>
          <w:p>
            <w:pPr>
              <w:pStyle w:val="null3"/>
              <w:ind w:firstLine="420"/>
              <w:jc w:val="both"/>
            </w:pPr>
            <w:r>
              <w:rPr>
                <w:rFonts w:ascii="仿宋_GB2312" w:hAnsi="仿宋_GB2312" w:cs="仿宋_GB2312" w:eastAsia="仿宋_GB2312"/>
                <w:sz w:val="21"/>
              </w:rPr>
              <w:t>IQ数据带宽：</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0MHz</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100%POI（截获概率）：2μs；</w:t>
            </w:r>
          </w:p>
          <w:p>
            <w:pPr>
              <w:pStyle w:val="null3"/>
              <w:ind w:firstLine="420"/>
              <w:jc w:val="both"/>
            </w:pPr>
            <w:r>
              <w:rPr>
                <w:rFonts w:ascii="仿宋_GB2312" w:hAnsi="仿宋_GB2312" w:cs="仿宋_GB2312" w:eastAsia="仿宋_GB2312"/>
                <w:sz w:val="21"/>
              </w:rPr>
              <w:t>并行监测通道最大</w:t>
            </w:r>
            <w:r>
              <w:rPr>
                <w:rFonts w:ascii="仿宋_GB2312" w:hAnsi="仿宋_GB2312" w:cs="仿宋_GB2312" w:eastAsia="仿宋_GB2312"/>
                <w:sz w:val="21"/>
              </w:rPr>
              <w:t>IQ采样率：≥200MSPS</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4）测向接收机技术指标</w:t>
            </w:r>
          </w:p>
          <w:p>
            <w:pPr>
              <w:pStyle w:val="null3"/>
              <w:ind w:firstLine="420"/>
              <w:jc w:val="both"/>
            </w:pPr>
            <w:r>
              <w:rPr>
                <w:rFonts w:ascii="仿宋_GB2312" w:hAnsi="仿宋_GB2312" w:cs="仿宋_GB2312" w:eastAsia="仿宋_GB2312"/>
                <w:sz w:val="21"/>
              </w:rPr>
              <w:t>测向工作频率范围：</w:t>
            </w:r>
            <w:r>
              <w:rPr>
                <w:rFonts w:ascii="仿宋_GB2312" w:hAnsi="仿宋_GB2312" w:cs="仿宋_GB2312" w:eastAsia="仿宋_GB2312"/>
                <w:sz w:val="21"/>
              </w:rPr>
              <w:t>2</w:t>
            </w:r>
            <w:r>
              <w:rPr>
                <w:rFonts w:ascii="仿宋_GB2312" w:hAnsi="仿宋_GB2312" w:cs="仿宋_GB2312" w:eastAsia="仿宋_GB2312"/>
                <w:sz w:val="21"/>
              </w:rPr>
              <w:t>0MHz～8000MHz</w:t>
            </w:r>
            <w:r>
              <w:rPr>
                <w:rFonts w:ascii="仿宋_GB2312" w:hAnsi="仿宋_GB2312" w:cs="仿宋_GB2312" w:eastAsia="仿宋_GB2312"/>
                <w:sz w:val="21"/>
              </w:rPr>
              <w:t>（</w:t>
            </w:r>
            <w:r>
              <w:rPr>
                <w:rFonts w:ascii="仿宋_GB2312" w:hAnsi="仿宋_GB2312" w:cs="仿宋_GB2312" w:eastAsia="仿宋_GB2312"/>
                <w:sz w:val="21"/>
              </w:rPr>
              <w:t>垂直极化</w:t>
            </w:r>
            <w:r>
              <w:rPr>
                <w:rFonts w:ascii="仿宋_GB2312" w:hAnsi="仿宋_GB2312" w:cs="仿宋_GB2312" w:eastAsia="仿宋_GB2312"/>
                <w:sz w:val="21"/>
              </w:rPr>
              <w:t>）；</w:t>
            </w:r>
          </w:p>
          <w:p>
            <w:pPr>
              <w:pStyle w:val="null3"/>
              <w:ind w:firstLine="2310"/>
              <w:jc w:val="both"/>
            </w:pPr>
            <w:r>
              <w:rPr>
                <w:rFonts w:ascii="仿宋_GB2312" w:hAnsi="仿宋_GB2312" w:cs="仿宋_GB2312" w:eastAsia="仿宋_GB2312"/>
                <w:sz w:val="21"/>
              </w:rPr>
              <w:t>40MHz～1300MHz</w:t>
            </w:r>
            <w:r>
              <w:rPr>
                <w:rFonts w:ascii="仿宋_GB2312" w:hAnsi="仿宋_GB2312" w:cs="仿宋_GB2312" w:eastAsia="仿宋_GB2312"/>
                <w:sz w:val="21"/>
              </w:rPr>
              <w:t>（</w:t>
            </w:r>
            <w:r>
              <w:rPr>
                <w:rFonts w:ascii="仿宋_GB2312" w:hAnsi="仿宋_GB2312" w:cs="仿宋_GB2312" w:eastAsia="仿宋_GB2312"/>
                <w:sz w:val="21"/>
              </w:rPr>
              <w:t>水平极化</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频率</w:t>
            </w:r>
            <w:r>
              <w:rPr>
                <w:rFonts w:ascii="仿宋_GB2312" w:hAnsi="仿宋_GB2312" w:cs="仿宋_GB2312" w:eastAsia="仿宋_GB2312"/>
                <w:sz w:val="21"/>
              </w:rPr>
              <w:t>测量精度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×10</w:t>
            </w:r>
            <w:r>
              <w:rPr>
                <w:rFonts w:ascii="仿宋_GB2312" w:hAnsi="仿宋_GB2312" w:cs="仿宋_GB2312" w:eastAsia="仿宋_GB2312"/>
                <w:sz w:val="21"/>
                <w:vertAlign w:val="superscript"/>
              </w:rPr>
              <w:t>-7</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▲相位噪声：≤-110dBc/Hz@10KHz（射频1GHz处）</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中频抑制（典型值）：</w:t>
            </w:r>
            <w:r>
              <w:rPr>
                <w:rFonts w:ascii="仿宋_GB2312" w:hAnsi="仿宋_GB2312" w:cs="仿宋_GB2312" w:eastAsia="仿宋_GB2312"/>
                <w:sz w:val="21"/>
              </w:rPr>
              <w:t>≥90dB</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镜频抑制（典型值）：</w:t>
            </w:r>
            <w:r>
              <w:rPr>
                <w:rFonts w:ascii="仿宋_GB2312" w:hAnsi="仿宋_GB2312" w:cs="仿宋_GB2312" w:eastAsia="仿宋_GB2312"/>
                <w:sz w:val="21"/>
              </w:rPr>
              <w:t>≥90dB</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▲二阶截断点：≥50dBm（低失真模式，中</w:t>
            </w:r>
            <w:r>
              <w:rPr>
                <w:rFonts w:ascii="仿宋_GB2312" w:hAnsi="仿宋_GB2312" w:cs="仿宋_GB2312" w:eastAsia="仿宋_GB2312"/>
                <w:sz w:val="21"/>
              </w:rPr>
              <w:t>频</w:t>
            </w:r>
            <w:r>
              <w:rPr>
                <w:rFonts w:ascii="仿宋_GB2312" w:hAnsi="仿宋_GB2312" w:cs="仿宋_GB2312" w:eastAsia="仿宋_GB2312"/>
                <w:sz w:val="21"/>
              </w:rPr>
              <w:t>带宽</w:t>
            </w:r>
            <w:r>
              <w:rPr>
                <w:rFonts w:ascii="仿宋_GB2312" w:hAnsi="仿宋_GB2312" w:cs="仿宋_GB2312" w:eastAsia="仿宋_GB2312"/>
                <w:sz w:val="21"/>
              </w:rPr>
              <w:t>20MHz）</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▲三阶截断点：≥10dBm（低失真模式，中</w:t>
            </w:r>
            <w:r>
              <w:rPr>
                <w:rFonts w:ascii="仿宋_GB2312" w:hAnsi="仿宋_GB2312" w:cs="仿宋_GB2312" w:eastAsia="仿宋_GB2312"/>
                <w:sz w:val="21"/>
              </w:rPr>
              <w:t>频</w:t>
            </w:r>
            <w:r>
              <w:rPr>
                <w:rFonts w:ascii="仿宋_GB2312" w:hAnsi="仿宋_GB2312" w:cs="仿宋_GB2312" w:eastAsia="仿宋_GB2312"/>
                <w:sz w:val="21"/>
              </w:rPr>
              <w:t>带宽</w:t>
            </w:r>
            <w:r>
              <w:rPr>
                <w:rFonts w:ascii="仿宋_GB2312" w:hAnsi="仿宋_GB2312" w:cs="仿宋_GB2312" w:eastAsia="仿宋_GB2312"/>
                <w:sz w:val="21"/>
              </w:rPr>
              <w:t>20MHz）</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▲扫描速度：≥50GHz/s，25kHz步进</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5）监测天线技术指标</w:t>
            </w:r>
          </w:p>
          <w:p>
            <w:pPr>
              <w:pStyle w:val="null3"/>
              <w:ind w:firstLine="420"/>
              <w:jc w:val="both"/>
            </w:pPr>
            <w:r>
              <w:rPr>
                <w:rFonts w:ascii="仿宋_GB2312" w:hAnsi="仿宋_GB2312" w:cs="仿宋_GB2312" w:eastAsia="仿宋_GB2312"/>
                <w:sz w:val="21"/>
              </w:rPr>
              <w:t>工作频率：</w:t>
            </w:r>
            <w:r>
              <w:rPr>
                <w:rFonts w:ascii="仿宋_GB2312" w:hAnsi="仿宋_GB2312" w:cs="仿宋_GB2312" w:eastAsia="仿宋_GB2312"/>
                <w:sz w:val="21"/>
              </w:rPr>
              <w:t>20MHz～18000MHz</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极化方式：垂直极化</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6）测向天线技术指标</w:t>
            </w:r>
          </w:p>
          <w:p>
            <w:pPr>
              <w:pStyle w:val="null3"/>
              <w:ind w:firstLine="420"/>
              <w:jc w:val="both"/>
            </w:pPr>
            <w:r>
              <w:rPr>
                <w:rFonts w:ascii="仿宋_GB2312" w:hAnsi="仿宋_GB2312" w:cs="仿宋_GB2312" w:eastAsia="仿宋_GB2312"/>
                <w:sz w:val="21"/>
              </w:rPr>
              <w:t>频率范围：</w:t>
            </w:r>
            <w:r>
              <w:rPr>
                <w:rFonts w:ascii="仿宋_GB2312" w:hAnsi="仿宋_GB2312" w:cs="仿宋_GB2312" w:eastAsia="仿宋_GB2312"/>
                <w:sz w:val="21"/>
              </w:rPr>
              <w:t>2</w:t>
            </w:r>
            <w:r>
              <w:rPr>
                <w:rFonts w:ascii="仿宋_GB2312" w:hAnsi="仿宋_GB2312" w:cs="仿宋_GB2312" w:eastAsia="仿宋_GB2312"/>
                <w:sz w:val="21"/>
              </w:rPr>
              <w:t>0MHz～8000MHz（垂直极化）；</w:t>
            </w:r>
          </w:p>
          <w:p>
            <w:pPr>
              <w:pStyle w:val="null3"/>
              <w:ind w:firstLine="1470"/>
              <w:jc w:val="both"/>
            </w:pPr>
            <w:r>
              <w:rPr>
                <w:rFonts w:ascii="仿宋_GB2312" w:hAnsi="仿宋_GB2312" w:cs="仿宋_GB2312" w:eastAsia="仿宋_GB2312"/>
                <w:sz w:val="21"/>
              </w:rPr>
              <w:t>40MHz～1300MHz（水平极化）</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7）其他指标</w:t>
            </w:r>
          </w:p>
          <w:p>
            <w:pPr>
              <w:pStyle w:val="null3"/>
              <w:ind w:firstLine="420"/>
              <w:jc w:val="both"/>
            </w:pPr>
            <w:r>
              <w:rPr>
                <w:rFonts w:ascii="仿宋_GB2312" w:hAnsi="仿宋_GB2312" w:cs="仿宋_GB2312" w:eastAsia="仿宋_GB2312"/>
                <w:sz w:val="21"/>
              </w:rPr>
              <w:t>供电方式：市电、不间断电源</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断电持续工作时间：</w:t>
            </w:r>
            <w:r>
              <w:rPr>
                <w:rFonts w:ascii="仿宋_GB2312" w:hAnsi="仿宋_GB2312" w:cs="仿宋_GB2312" w:eastAsia="仿宋_GB2312"/>
                <w:sz w:val="21"/>
              </w:rPr>
              <w:t>≥8小时</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交流工作电压：</w:t>
            </w:r>
            <w:r>
              <w:rPr>
                <w:rFonts w:ascii="仿宋_GB2312" w:hAnsi="仿宋_GB2312" w:cs="仿宋_GB2312" w:eastAsia="仿宋_GB2312"/>
                <w:sz w:val="21"/>
              </w:rPr>
              <w:t>220V±3％</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交流工作频率：</w:t>
            </w:r>
            <w:r>
              <w:rPr>
                <w:rFonts w:ascii="仿宋_GB2312" w:hAnsi="仿宋_GB2312" w:cs="仿宋_GB2312" w:eastAsia="仿宋_GB2312"/>
                <w:sz w:val="21"/>
              </w:rPr>
              <w:t>50Hz±1Hz</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自动监测能力：</w:t>
            </w:r>
            <w:r>
              <w:rPr>
                <w:rFonts w:ascii="仿宋_GB2312" w:hAnsi="仿宋_GB2312" w:cs="仿宋_GB2312" w:eastAsia="仿宋_GB2312"/>
                <w:sz w:val="21"/>
              </w:rPr>
              <w:t>7×24小时</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电压驻波比：</w:t>
            </w:r>
            <w:r>
              <w:rPr>
                <w:rFonts w:ascii="仿宋_GB2312" w:hAnsi="仿宋_GB2312" w:cs="仿宋_GB2312" w:eastAsia="仿宋_GB2312"/>
                <w:sz w:val="21"/>
              </w:rPr>
              <w:t>≤</w:t>
            </w:r>
            <w:r>
              <w:rPr>
                <w:rFonts w:ascii="仿宋_GB2312" w:hAnsi="仿宋_GB2312" w:cs="仿宋_GB2312" w:eastAsia="仿宋_GB2312"/>
                <w:sz w:val="21"/>
              </w:rPr>
              <w:t>2.5（典型值，至少80%的测试点满足要求）；</w:t>
            </w:r>
          </w:p>
          <w:p>
            <w:pPr>
              <w:pStyle w:val="null3"/>
              <w:ind w:firstLine="420"/>
              <w:jc w:val="both"/>
            </w:pPr>
            <w:r>
              <w:rPr>
                <w:rFonts w:ascii="仿宋_GB2312" w:hAnsi="仿宋_GB2312" w:cs="仿宋_GB2312" w:eastAsia="仿宋_GB2312"/>
                <w:sz w:val="21"/>
              </w:rPr>
              <w:t>本地监测数据存储能力：</w:t>
            </w:r>
            <w:r>
              <w:rPr>
                <w:rFonts w:ascii="仿宋_GB2312" w:hAnsi="仿宋_GB2312" w:cs="仿宋_GB2312" w:eastAsia="仿宋_GB2312"/>
                <w:sz w:val="21"/>
              </w:rPr>
              <w:t>≥</w:t>
            </w:r>
            <w:r>
              <w:rPr>
                <w:rFonts w:ascii="仿宋_GB2312" w:hAnsi="仿宋_GB2312" w:cs="仿宋_GB2312" w:eastAsia="仿宋_GB2312"/>
                <w:sz w:val="21"/>
              </w:rPr>
              <w:t>20TB。</w:t>
            </w:r>
          </w:p>
          <w:p>
            <w:pPr>
              <w:pStyle w:val="null3"/>
              <w:ind w:firstLine="422"/>
              <w:jc w:val="left"/>
            </w:pPr>
            <w:r>
              <w:rPr>
                <w:rFonts w:ascii="仿宋_GB2312" w:hAnsi="仿宋_GB2312" w:cs="仿宋_GB2312" w:eastAsia="仿宋_GB2312"/>
                <w:sz w:val="21"/>
                <w:b/>
                <w:color w:val="000000"/>
              </w:rPr>
              <w:t>六、交货期</w:t>
            </w:r>
          </w:p>
          <w:p>
            <w:pPr>
              <w:pStyle w:val="null3"/>
              <w:ind w:firstLine="420"/>
              <w:jc w:val="left"/>
            </w:pPr>
            <w:r>
              <w:rPr>
                <w:rFonts w:ascii="仿宋_GB2312" w:hAnsi="仿宋_GB2312" w:cs="仿宋_GB2312" w:eastAsia="仿宋_GB2312"/>
                <w:sz w:val="21"/>
                <w:color w:val="000000"/>
              </w:rPr>
              <w:t>1.交货时间：合同签订后5个月内。</w:t>
            </w:r>
          </w:p>
          <w:p>
            <w:pPr>
              <w:pStyle w:val="null3"/>
              <w:ind w:firstLine="420"/>
              <w:jc w:val="left"/>
            </w:pPr>
            <w:r>
              <w:rPr>
                <w:rFonts w:ascii="仿宋_GB2312" w:hAnsi="仿宋_GB2312" w:cs="仿宋_GB2312" w:eastAsia="仿宋_GB2312"/>
                <w:sz w:val="21"/>
                <w:color w:val="000000"/>
              </w:rPr>
              <w:t>2.交货地点：采购人指定地点。</w:t>
            </w:r>
          </w:p>
          <w:p>
            <w:pPr>
              <w:pStyle w:val="null3"/>
              <w:ind w:firstLine="422"/>
              <w:jc w:val="left"/>
            </w:pPr>
            <w:r>
              <w:rPr>
                <w:rFonts w:ascii="仿宋_GB2312" w:hAnsi="仿宋_GB2312" w:cs="仿宋_GB2312" w:eastAsia="仿宋_GB2312"/>
                <w:sz w:val="21"/>
                <w:b/>
                <w:color w:val="000000"/>
              </w:rPr>
              <w:t>七、验收要求</w:t>
            </w:r>
          </w:p>
          <w:p>
            <w:pPr>
              <w:pStyle w:val="null3"/>
              <w:ind w:firstLine="420"/>
              <w:jc w:val="left"/>
            </w:pPr>
            <w:r>
              <w:rPr>
                <w:rFonts w:ascii="仿宋_GB2312" w:hAnsi="仿宋_GB2312" w:cs="仿宋_GB2312" w:eastAsia="仿宋_GB2312"/>
                <w:sz w:val="21"/>
                <w:color w:val="000000"/>
              </w:rPr>
              <w:t>项目验收分为合同验收、初步验收和竣工验收三个部分。</w:t>
            </w:r>
          </w:p>
          <w:p>
            <w:pPr>
              <w:pStyle w:val="null3"/>
              <w:ind w:firstLine="420"/>
              <w:jc w:val="left"/>
            </w:pPr>
            <w:r>
              <w:rPr>
                <w:rFonts w:ascii="仿宋_GB2312" w:hAnsi="仿宋_GB2312" w:cs="仿宋_GB2312" w:eastAsia="仿宋_GB2312"/>
                <w:sz w:val="21"/>
                <w:color w:val="000000"/>
              </w:rPr>
              <w:t>合同验收包括检查合同建设内容完成情况、合同支付情况、合同规定的各类文档资料收集等工作。</w:t>
            </w:r>
          </w:p>
          <w:p>
            <w:pPr>
              <w:pStyle w:val="null3"/>
              <w:ind w:firstLine="420"/>
              <w:jc w:val="left"/>
            </w:pPr>
            <w:r>
              <w:rPr>
                <w:rFonts w:ascii="仿宋_GB2312" w:hAnsi="仿宋_GB2312" w:cs="仿宋_GB2312" w:eastAsia="仿宋_GB2312"/>
                <w:sz w:val="21"/>
                <w:color w:val="000000"/>
              </w:rPr>
              <w:t>初步验收包括项目资料检查、财务资金检查、无线电管理基础和技术设施检查、规定执行情况检查等工作。</w:t>
            </w:r>
          </w:p>
          <w:p>
            <w:pPr>
              <w:pStyle w:val="null3"/>
              <w:ind w:firstLine="420"/>
              <w:jc w:val="left"/>
            </w:pPr>
            <w:r>
              <w:rPr>
                <w:rFonts w:ascii="仿宋_GB2312" w:hAnsi="仿宋_GB2312" w:cs="仿宋_GB2312" w:eastAsia="仿宋_GB2312"/>
                <w:sz w:val="21"/>
                <w:color w:val="000000"/>
              </w:rPr>
              <w:t>竣工验收包括项目竣工验收申请及批复材料、项目试运行报告、项目承担单位基本情况、项目概况、项目实施总结报告等资料。</w:t>
            </w:r>
          </w:p>
          <w:p>
            <w:pPr>
              <w:pStyle w:val="null3"/>
              <w:ind w:firstLine="422"/>
              <w:jc w:val="left"/>
            </w:pPr>
            <w:r>
              <w:rPr>
                <w:rFonts w:ascii="仿宋_GB2312" w:hAnsi="仿宋_GB2312" w:cs="仿宋_GB2312" w:eastAsia="仿宋_GB2312"/>
                <w:sz w:val="21"/>
                <w:b/>
                <w:color w:val="000000"/>
              </w:rPr>
              <w:t>八、售后服务及培训</w:t>
            </w:r>
          </w:p>
          <w:p>
            <w:pPr>
              <w:pStyle w:val="null3"/>
              <w:ind w:firstLine="420"/>
              <w:jc w:val="left"/>
            </w:pPr>
            <w:r>
              <w:rPr>
                <w:rFonts w:ascii="仿宋_GB2312" w:hAnsi="仿宋_GB2312" w:cs="仿宋_GB2312" w:eastAsia="仿宋_GB2312"/>
                <w:sz w:val="21"/>
                <w:color w:val="000000"/>
              </w:rPr>
              <w:t>1.保修服务：项目竣工验收合格之日起2年。</w:t>
            </w:r>
          </w:p>
          <w:p>
            <w:pPr>
              <w:pStyle w:val="null3"/>
              <w:ind w:firstLine="420"/>
              <w:jc w:val="left"/>
            </w:pPr>
            <w:r>
              <w:rPr>
                <w:rFonts w:ascii="仿宋_GB2312" w:hAnsi="仿宋_GB2312" w:cs="仿宋_GB2312" w:eastAsia="仿宋_GB2312"/>
                <w:sz w:val="21"/>
                <w:color w:val="000000"/>
              </w:rPr>
              <w:t>2.供应商对出现的产品故障做到24小时内及时响应。</w:t>
            </w:r>
          </w:p>
          <w:p>
            <w:pPr>
              <w:pStyle w:val="null3"/>
              <w:ind w:firstLine="420"/>
              <w:jc w:val="left"/>
            </w:pPr>
            <w:r>
              <w:rPr>
                <w:rFonts w:ascii="仿宋_GB2312" w:hAnsi="仿宋_GB2312" w:cs="仿宋_GB2312" w:eastAsia="仿宋_GB2312"/>
                <w:sz w:val="21"/>
                <w:color w:val="000000"/>
              </w:rPr>
              <w:t>3.保修服务期间免费保修。</w:t>
            </w:r>
          </w:p>
          <w:p>
            <w:pPr>
              <w:pStyle w:val="null3"/>
              <w:ind w:firstLine="420"/>
              <w:jc w:val="left"/>
            </w:pPr>
            <w:r>
              <w:rPr>
                <w:rFonts w:ascii="仿宋_GB2312" w:hAnsi="仿宋_GB2312" w:cs="仿宋_GB2312" w:eastAsia="仿宋_GB2312"/>
                <w:sz w:val="21"/>
                <w:color w:val="000000"/>
              </w:rPr>
              <w:t>4.厂家需免费负责提供技术培训，培训人员通过技术培训能够独立运行采购设备。</w:t>
            </w:r>
          </w:p>
          <w:p>
            <w:pPr>
              <w:pStyle w:val="null3"/>
              <w:ind w:firstLine="422"/>
              <w:jc w:val="left"/>
            </w:pPr>
            <w:r>
              <w:rPr>
                <w:rFonts w:ascii="仿宋_GB2312" w:hAnsi="仿宋_GB2312" w:cs="仿宋_GB2312" w:eastAsia="仿宋_GB2312"/>
                <w:sz w:val="21"/>
                <w:b/>
                <w:color w:val="000000"/>
              </w:rPr>
              <w:t>九、付款方式</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合同签订后</w:t>
            </w:r>
            <w:r>
              <w:rPr>
                <w:rFonts w:ascii="仿宋_GB2312" w:hAnsi="仿宋_GB2312" w:cs="仿宋_GB2312" w:eastAsia="仿宋_GB2312"/>
                <w:sz w:val="21"/>
                <w:color w:val="000000"/>
              </w:rPr>
              <w:t>五个工作日内，中标供应商向采购人出具合同总价款</w:t>
            </w:r>
            <w:r>
              <w:rPr>
                <w:rFonts w:ascii="仿宋_GB2312" w:hAnsi="仿宋_GB2312" w:cs="仿宋_GB2312" w:eastAsia="仿宋_GB2312"/>
                <w:sz w:val="21"/>
                <w:color w:val="000000"/>
              </w:rPr>
              <w:t>5%金额的银行保函（保函有效期截止时间为本项目终验合格日当天）</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2.采购人收到中标供应商合格银行保函后支付全部合同总价款</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3.中标供应商承诺在采购人办理支付手续前，为采购人出具等额的符合国家规定的发票；</w:t>
            </w:r>
          </w:p>
          <w:p>
            <w:pPr>
              <w:pStyle w:val="null3"/>
              <w:ind w:firstLine="420"/>
              <w:jc w:val="left"/>
            </w:pPr>
            <w:r>
              <w:rPr>
                <w:rFonts w:ascii="仿宋_GB2312" w:hAnsi="仿宋_GB2312" w:cs="仿宋_GB2312" w:eastAsia="仿宋_GB2312"/>
                <w:sz w:val="21"/>
                <w:color w:val="000000"/>
              </w:rPr>
              <w:t>4.上述时间不包括采购人正常办理支付报批手续的时间。</w:t>
            </w:r>
          </w:p>
          <w:p>
            <w:pPr>
              <w:pStyle w:val="null3"/>
              <w:ind w:firstLine="422"/>
              <w:jc w:val="left"/>
            </w:pPr>
            <w:r>
              <w:rPr>
                <w:rFonts w:ascii="仿宋_GB2312" w:hAnsi="仿宋_GB2312" w:cs="仿宋_GB2312" w:eastAsia="仿宋_GB2312"/>
                <w:sz w:val="21"/>
                <w:b/>
                <w:color w:val="000000"/>
              </w:rPr>
              <w:t>十、其他要求</w:t>
            </w:r>
          </w:p>
          <w:p>
            <w:pPr>
              <w:pStyle w:val="null3"/>
            </w:pPr>
            <w:r>
              <w:rPr>
                <w:rFonts w:ascii="仿宋_GB2312" w:hAnsi="仿宋_GB2312" w:cs="仿宋_GB2312" w:eastAsia="仿宋_GB2312"/>
                <w:sz w:val="21"/>
                <w:color w:val="000000"/>
              </w:rPr>
              <w:t xml:space="preserve">   根据《国家无线电办公室关于进一步加强无线电管理基础和技术设施建设项目验收有关工作的通知》国无办函【</w:t>
            </w:r>
            <w:r>
              <w:rPr>
                <w:rFonts w:ascii="仿宋_GB2312" w:hAnsi="仿宋_GB2312" w:cs="仿宋_GB2312" w:eastAsia="仿宋_GB2312"/>
                <w:sz w:val="21"/>
                <w:color w:val="000000"/>
              </w:rPr>
              <w:t>2020】31号、《无线电监测设施测试验证工作规定（试行）》（工信部无【2017】283号）等文件要求，本项目在</w:t>
            </w:r>
            <w:r>
              <w:rPr>
                <w:rFonts w:ascii="仿宋_GB2312" w:hAnsi="仿宋_GB2312" w:cs="仿宋_GB2312" w:eastAsia="仿宋_GB2312"/>
                <w:sz w:val="21"/>
                <w:color w:val="000000"/>
              </w:rPr>
              <w:t>建设过程中如包含第三方验收、</w:t>
            </w:r>
            <w:r>
              <w:rPr>
                <w:rFonts w:ascii="仿宋_GB2312" w:hAnsi="仿宋_GB2312" w:cs="仿宋_GB2312" w:eastAsia="仿宋_GB2312"/>
                <w:sz w:val="21"/>
                <w:color w:val="000000"/>
              </w:rPr>
              <w:t>培训等内容，其费用均由中标供应商承担。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合同签订后5个月内。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合同签订后五个工作日内，中标供应商向采购人出具合同总价款5%金额的银行保函（保函有效期截止时间为本项目终验合格日当天）；采购人收到中标供应商合格银行保函后支付全部合同总价款；中标供应商承诺在采购人办理支付手续前，为采购人出具等额的符合国家规定的发票；上述时间不包括采购人正常办理支付报批手续的时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项目验收分为合同验收、初步验收和竣工验收三个部分。 合同验收包括检查合同建设内容完成情况、合同支付情况、合同规定的各类文档资料收集等工作。 初步验收包括项目资料检查、财务资金检查、无线电管理基础和技术设施检查、规定执行情况检查等工作。 竣工验收包括项目竣工验收申请及批复材料、项目试运行报告、项目承担单位基本情况、项目概况、项目实施总结报告等资料。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项目竣工验收合格之日起2年。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（1）按《中华人民共和国民法典》中合同部分的相关条款执行。 （2）未按合同要求提供产品或产品质量不能满足技术要求，采购人有权终止合同，并保留追究供应商违约责任的权利。</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中标人负责办理将货物或服务运抵交货服务地点的一切事项，并完成与合同履约相关的工作。凡涉及的包装、运输、培训、税金、售后服务、验收等，所有费用一次性计入投标总价。合同履约过程中采购人不再支付其他额外费用。 3.5.2技术培训要求： 1）培训地点：采购人指定地点； 2）培训对象：采购人指定的技术人员及管理人员； 3）培训人数及时间：由采购人根据项目进度决定； 4）培训内容：产品使用方法、使用原理等方面； 5）培训目的：熟练操作产品。 3.5.3投标人应保证投标服务及货物不会出现因第三方提出侵犯其专利权、商标权或其它知识产权而引发法律或经济纠纷，否则由投标人承担全部责任。任何被投标人用于未经授权的商业目的行为所造成的违约或侵权责任由投标人承担。 3.5.4供应商需要在线提交所有通过电子化交易平台实施的政府采购项目的投标文件，同时，线下提交纸质投标文件贰份；若电子投标文件与纸质投标文件不一致的，以电子投标文件为准；投标文件装订成册密封（在书脊处标明项目名称、供应商名称（机打或手写均可），逐页标注连续页码），在封口处加盖供应商公章；纸质投标文件递交截止时间与线上开评标时间一致；纸质投标文件可邮寄递交，应于递交投标文件截止时间前邮寄到代理机构（地点：西安市高新区丈八一路1号汇鑫中心D座2206陕西德勤招标有限公司）。 3.5.5如提交保函，建议至少提前一个工作日将保函正本送至采购代理机构，如提供电子保函，应将电子保函发送至代理机构指定邮箱deqinlh@126.com。 3.5.6由于本项目需要进行现场功能演示，请各投标人委派功能演示人员于开标截止时间前抵达西安市高新区丈八一路1号汇鑫中心D座2206等候演示，未按时到达的投标人视为自动放弃参与演示环节。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法定代表人授权委托书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均按招标文件要求签章(评分标准中要求提供的证明材料除外)。</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设备技术参数符合性</w:t>
            </w:r>
          </w:p>
        </w:tc>
        <w:tc>
          <w:tcPr>
            <w:tcW w:type="dxa" w:w="2492"/>
          </w:tcPr>
          <w:p>
            <w:pPr>
              <w:pStyle w:val="null3"/>
            </w:pPr>
            <w:r>
              <w:rPr>
                <w:rFonts w:ascii="仿宋_GB2312" w:hAnsi="仿宋_GB2312" w:cs="仿宋_GB2312" w:eastAsia="仿宋_GB2312"/>
              </w:rPr>
              <w:t>满足本项目采购需求产品带▲的主要技术指标得14分，带▲的主要技术指标每有一条技术指标不满足扣1分，扣完为止。 注：供应商须在投标文件中提供所投设备该项指标的检测报告，该报告由具有资质的第三方检测机构出具且加盖CNAS或CMA公章，否则该项指标视为不满足。</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功能演示</w:t>
            </w:r>
          </w:p>
        </w:tc>
        <w:tc>
          <w:tcPr>
            <w:tcW w:type="dxa" w:w="2492"/>
          </w:tcPr>
          <w:p>
            <w:pPr>
              <w:pStyle w:val="null3"/>
            </w:pPr>
            <w:r>
              <w:rPr>
                <w:rFonts w:ascii="仿宋_GB2312" w:hAnsi="仿宋_GB2312" w:cs="仿宋_GB2312" w:eastAsia="仿宋_GB2312"/>
              </w:rPr>
              <w:t>对以下功能在招标现场进行现场演示或视频演示，根据演示情况进行评分，现场演示每完成一项演示得3分，共12分；视频演示每完成一项演示得1.5分，共6分。 1.信号分析功能演示，对信号源发射的4FSK、8FSK、16PSK、64QAM、128QAM、256QAM等调制类型信号进行分析，识别、解调的结果与发射类型一致，并显示测量结果。显示的数值或参数（中心频率、带宽、调制类型、误差矢量幅度、幅相误差等）与发射的设置值一致（误差范围参考相关国家与行业标准）； 2.可实现分析查找中继台能力，准确监测频段内可能存在的中继台上下行信号，智能对频，自动区分出上行下行频率，音频编码； 3.实时频谱分析功能清晰分辨宽频带数字调制移动通信信号内突发同频瞬态干扰，同时捕获侦测时间不大于5ns的信号（屏幕显示）； 4.演示5G NR信号同步解码分析测量功能，包括国家码、运营商码、物理小区ID、扇区ID、波束ID、频率误差、时间偏移、同步资源块（SSB）与解调状态指示等的分析测量。 不满足功能要求，或者未演示的不得分。 注：本项目进行现场演示的供应商需携带演示设备至开标地点进行现场演示，演示环境由供应商自行搭建；本项目进行视频演示的供应商需提前录制好演示视频，以便演示播放。演示时间不超过20分钟（不含现场提问及解答时间），演示时如需网络连接由投标人自行解决。</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一、评审内容 针对本项目提供设计方案，包括但不限于①总体系统设计方案（说明投标人系统设计的合理性、先进性、成熟性、适应性、扩展性、兼容性等）；②硬件配置方案；③系统功能描述；④安装架设方案；⑤防雷接地方案等进行评价。 二、评审标准 1、完整性：方案须全面，对评审内容中的各项要求有详细描述； 2、可实施性：切合本项目实际情况，实施步骤清晰、合理； 3、针对性：方案能够紧扣项目实际情况，内容科学合理。 三、赋分依据（满分12分） ①总体设计方案：每完全满足一个评审标准得1分，满分3分； ②硬件配置方案：每完全满足一个评审标准得1分，满分3分； ③系统功能描述：每完全满足一个评审标准得1分，满分3分； ④安装架设方案：每完全满足一个评审标准得0.5分，满分1.5分； ⑤防雷接地方案：每完全满足一个评审标准得0.5分，满分1.5分。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联网能力</w:t>
            </w:r>
          </w:p>
        </w:tc>
        <w:tc>
          <w:tcPr>
            <w:tcW w:type="dxa" w:w="2492"/>
          </w:tcPr>
          <w:p>
            <w:pPr>
              <w:pStyle w:val="null3"/>
            </w:pPr>
            <w:r>
              <w:rPr>
                <w:rFonts w:ascii="仿宋_GB2312" w:hAnsi="仿宋_GB2312" w:cs="仿宋_GB2312" w:eastAsia="仿宋_GB2312"/>
              </w:rPr>
              <w:t>提供国家无线电监测中心检测中心出具的无线电监测管理一体化平台原子服务接入能力测试报告的证书的，得2分。 注：测试报告应依据国家无线电监测中心《超短波监测管理一体化服务接口规范》要求，按YD/T3700-2020《超短波监测管理一体化平台技术规范》所要求的具备联网能力进行测试） （报告扫描件加盖公章，报告取得日期应不晚于招标公告发布日期）</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一、评审内容 针对本项目提供进度计划及保障措施，包括但不限于①项目进度计划；②进度保障措施等进行评价。 二、评审标准 1、完整性：方案须全面，对评审内容中的各项要求有详细描述； 2、可实施性：切合本项目实际情况，实施步骤清晰、合理； 3、针对性：方案能够紧扣项目实际情况，内容科学合理。 三、赋分依据（满分3分） ①项目进度计划：每完全满足一个评审标准得0.5分，满分1.5分； ②进度保障措施：每完全满足一个评审标准得0.5分，满分1.5分。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项目质量管理体系</w:t>
            </w:r>
          </w:p>
        </w:tc>
        <w:tc>
          <w:tcPr>
            <w:tcW w:type="dxa" w:w="2492"/>
          </w:tcPr>
          <w:p>
            <w:pPr>
              <w:pStyle w:val="null3"/>
            </w:pPr>
            <w:r>
              <w:rPr>
                <w:rFonts w:ascii="仿宋_GB2312" w:hAnsi="仿宋_GB2312" w:cs="仿宋_GB2312" w:eastAsia="仿宋_GB2312"/>
              </w:rPr>
              <w:t>一、评审内容 针对本项目提供设计方案，包括但不限于①项目管理制度；②项目质量保障方案等进行评价。 二、评审标准 1、完整性：方案须全面，对评审内容中的各项要求有详细描述； 2、可实施性：切合本项目实际情况，实施步骤清晰、合理； 3、针对性：方案能够紧扣项目实际情况，内容科学合理。 三、赋分依据（满分3分） ①项目管理制度：每完全满足一个评审标准得0.5分，满分1.5分； ②质量保障方案：每完全满足一个评审标准得0.5分，满分1.5分。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售后服务管理体系</w:t>
            </w:r>
          </w:p>
        </w:tc>
        <w:tc>
          <w:tcPr>
            <w:tcW w:type="dxa" w:w="2492"/>
          </w:tcPr>
          <w:p>
            <w:pPr>
              <w:pStyle w:val="null3"/>
            </w:pPr>
            <w:r>
              <w:rPr>
                <w:rFonts w:ascii="仿宋_GB2312" w:hAnsi="仿宋_GB2312" w:cs="仿宋_GB2312" w:eastAsia="仿宋_GB2312"/>
              </w:rPr>
              <w:t>一、评审内容 针对本项目提供设计方案，包括但不限于①服务保障体系；②故障处理流程等进行评价。 二、评审标准 1、完整性：方案须全面，对评审内容中的各项要求有详细描述； 2、可实施性：切合本项目实际情况，实施步骤清晰、合理； 3、针对性：方案能够紧扣项目实际情况，内容科学合理。 三、赋分依据（满分5分） ①服务保障体系：每完全满足一个评审标准得1分，满分3分； ②故障处理流程：只完全满足满足一个或两个评审标准得1分，满足所有评审标准得2分。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项目培训方案</w:t>
            </w:r>
          </w:p>
        </w:tc>
        <w:tc>
          <w:tcPr>
            <w:tcW w:type="dxa" w:w="2492"/>
          </w:tcPr>
          <w:p>
            <w:pPr>
              <w:pStyle w:val="null3"/>
            </w:pPr>
            <w:r>
              <w:rPr>
                <w:rFonts w:ascii="仿宋_GB2312" w:hAnsi="仿宋_GB2312" w:cs="仿宋_GB2312" w:eastAsia="仿宋_GB2312"/>
              </w:rPr>
              <w:t>一、评审内容 针对本项目提供培训方案，包括但不限于①培训内容；②培训方式及流程等进行评价。 二、评审标准 1、完整性：方案须全面，对评审内容中的各项要求有详细描述； 2、可实施性：切合本项目实际情况，实施步骤清晰、合理； 3、针对性：方案能够紧扣项目实际情况，内容科学合理。 三、赋分依据（满分3分） ①培训内容：每完全满足一个评审标准得0.5分，满分1.5分； ②培训方式及流程：每完全满足一个评审标准得0.5分，满分1.5分。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（1）投标人具有CCID信息系统服务交付能力等级证书三级及以上等级资质证书得1分，否则得0分。 （2）投标人具有ISO20000信息技术服务管理体系认证证书得1分，否则得0分。 （3）投标人具有ISO27001信息安全管理体系认证证书得1分，否则得0分。 （4）投标人具备ITSS信息技术服务标准（运行维护领域）符合性证书的得1分，否则得0分。 （5）投标人具有信息系统建设和服务能力CS2级及以上认证的得1分，否则得0分。 （6）投标人具有CCRC信息安全服务资质认证证书得1分，否则得0分。 注：以上材料提供复印件加盖公章。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1、项目负责人或项目经理具有通信领域高级职称得2分。 2、项目负责人或项目经理具有高级信息系统项目管理师证书得2分。 3、项目团队人员拥有技术职称人数情况：拟派项目小组人员中，除项目负责人或项目经理外，具有无线电、电子或通信类专业高级工程师职称，每有1个证书得1分，最高得1分；具有无线电、电子或通信类专业中级工程师职称，每有1个证书得0.5分，最高得1分。 注：需提供以上人员由政府机关颁发的技术职称证明材料、身份证扫描件、近3个月内任意一个月投标人为其缴纳社保的证明材料（需有社保部门印章并加盖公章）或用工合同。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提供（2022年1月1日起至投标截止日止）无线电建设类类似项目业绩，每提供一个业绩证明材料得1分，满分4分；未提供的不得分。 注：以上需提供合同书或委托协议书或中标通知书等证明材料并加盖公章。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30x(评标基准价/投标报价)价格分计算四舍五入，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