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版本号：SZT2025-SN-SC-ZC-HW-109920251118001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隧道三维激光扫描系统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SZT2025-SN-SC-ZC-HW-1099</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隧道三维激光扫描系统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SZT2025-SN-SC-ZC-HW-1099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隧道三维激光扫描系统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本项目拟采购隧道三维激光扫描系统一套，建设具备隧道全寿命周期三维检测与掌子面地质结构数字孪生能力的教学科研平台，为隧道工程专业提供可量化、可验证的精准测量技术支撑。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陈先德、杨艳、李娜、史肖霞、单博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开户名称：陕西中技招标有限公司（转账完成后请将转账记录、单位名称、联系方式发送至本邮箱：2580212310@qq.com，并备注清楚项目名称和项目编号）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代理服务费收费标准：参照国家计委颁布的《招标代理服务收费管理暂行办法》（计价格[2002]1980号）和（发改办价格[2003]857号）中货物类收费标准下浮20%收取。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1、产品到货后，乙方负责安装调试，达到正常运行条件后书面通知甲方验收。 2、安装完成后应提供详细的安装报告，并详细记录各种指示的实测数据。 3、提供完整的操作手册和安装、调试、维修手册；提供制造厂家的检验测试报告或产品出厂检测报告。 4、甲方根据合同要求对产品进行验收、确认产品的产地、规格、型号和数量。验收依据为本合同文本、招标文件和国内相应的标准、规范。 5、验收合格后，填写产品验收单，并向甲方提交产品所包含的所有资料，以便甲方日后管理和维护。 6、验收由甲方负责组织或者邀请有关专家、质检机构、采购代理机构共同进行验收,验收须以合同、招标文件、澄清、及国家相应的标准、规范等为依据。7、在设备安装调试期间，供应商需派遣专业的安装工程师负责主导工作。安装工程师需具备丰富的同类设备安装经验，严格按照设备安装手册及相关标准规范进行操作。同时，采购人需安排熟悉项目需求与现场情况的工作人员积极配合安装工程师，协助完成设备的搬运、就位等辅助工作。在安装完成后，双方共同依据设备验收标准对设备进行全面验收。验收内容包括设备的外观完整性、功能实现情况、运行稳定性等方面。只有在双方共同确认设备各项指标均符合要求后，方可签署验收报告。</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本项目拟采购隧道三维激光扫描系统一套，建设具备隧道全寿命周期三维检测与掌子面地质结构数字孪生能力的教学科研平台，为隧道工程专业提供可量化、可验证的精准测量技术支撑。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隧道三维激光扫描系统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标的名称：隧道三维激光扫描系统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6"/>
              <w:gridCol w:w="485"/>
              <w:gridCol w:w="1705"/>
              <w:gridCol w:w="155"/>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设备名称</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主要技术参数</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隧道三维激光扫描系统</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（一）移动式三维激光扫描仪</w:t>
                  </w:r>
                  <w:r>
                    <w:rPr>
                      <w:rFonts w:ascii="仿宋_GB2312" w:hAnsi="仿宋_GB2312" w:cs="仿宋_GB2312" w:eastAsia="仿宋_GB2312"/>
                      <w:sz w:val="21"/>
                      <w:b/>
                      <w:color w:val="000000"/>
                    </w:rPr>
                    <w:t>1套</w:t>
                  </w:r>
                </w:p>
                <w:p>
                  <w:pPr>
                    <w:pStyle w:val="null3"/>
                    <w:jc w:val="both"/>
                  </w:pPr>
                  <w:r>
                    <w:rPr>
                      <w:rFonts w:ascii="仿宋_GB2312" w:hAnsi="仿宋_GB2312" w:cs="仿宋_GB2312" w:eastAsia="仿宋_GB2312"/>
                      <w:sz w:val="21"/>
                    </w:rPr>
                    <w:t>1. 激光参数：采用Class Ⅰ级，人眼安全激光，激光波长905nm或1550nm。</w:t>
                  </w:r>
                </w:p>
                <w:p>
                  <w:pPr>
                    <w:pStyle w:val="null3"/>
                    <w:jc w:val="both"/>
                  </w:pPr>
                  <w:r>
                    <w:rPr>
                      <w:rFonts w:ascii="仿宋_GB2312" w:hAnsi="仿宋_GB2312" w:cs="仿宋_GB2312" w:eastAsia="仿宋_GB2312"/>
                      <w:sz w:val="21"/>
                    </w:rPr>
                    <w:t>2. 扫描视场角：≥</w:t>
                  </w:r>
                  <w:r>
                    <w:rPr>
                      <w:rFonts w:ascii="仿宋_GB2312" w:hAnsi="仿宋_GB2312" w:cs="仿宋_GB2312" w:eastAsia="仿宋_GB2312"/>
                      <w:sz w:val="21"/>
                    </w:rPr>
                    <w:t>27</w:t>
                  </w:r>
                  <w:r>
                    <w:rPr>
                      <w:rFonts w:ascii="仿宋_GB2312" w:hAnsi="仿宋_GB2312" w:cs="仿宋_GB2312" w:eastAsia="仿宋_GB2312"/>
                      <w:sz w:val="21"/>
                    </w:rPr>
                    <w:t>0°×</w:t>
                  </w:r>
                  <w:r>
                    <w:rPr>
                      <w:rFonts w:ascii="仿宋_GB2312" w:hAnsi="仿宋_GB2312" w:cs="仿宋_GB2312" w:eastAsia="仿宋_GB2312"/>
                      <w:sz w:val="21"/>
                    </w:rPr>
                    <w:t>27</w:t>
                  </w:r>
                  <w:r>
                    <w:rPr>
                      <w:rFonts w:ascii="仿宋_GB2312" w:hAnsi="仿宋_GB2312" w:cs="仿宋_GB2312" w:eastAsia="仿宋_GB2312"/>
                      <w:sz w:val="21"/>
                    </w:rPr>
                    <w:t>0°。</w:t>
                  </w:r>
                </w:p>
                <w:p>
                  <w:pPr>
                    <w:pStyle w:val="null3"/>
                    <w:jc w:val="both"/>
                  </w:pPr>
                  <w:r>
                    <w:rPr>
                      <w:rFonts w:ascii="仿宋_GB2312" w:hAnsi="仿宋_GB2312" w:cs="仿宋_GB2312" w:eastAsia="仿宋_GB2312"/>
                      <w:sz w:val="21"/>
                    </w:rPr>
                    <w:t>3. 激光雷达</w:t>
                  </w:r>
                  <w:r>
                    <w:rPr>
                      <w:rFonts w:ascii="仿宋_GB2312" w:hAnsi="仿宋_GB2312" w:cs="仿宋_GB2312" w:eastAsia="仿宋_GB2312"/>
                      <w:sz w:val="21"/>
                    </w:rPr>
                    <w:t>最大</w:t>
                  </w:r>
                  <w:r>
                    <w:rPr>
                      <w:rFonts w:ascii="仿宋_GB2312" w:hAnsi="仿宋_GB2312" w:cs="仿宋_GB2312" w:eastAsia="仿宋_GB2312"/>
                      <w:sz w:val="21"/>
                    </w:rPr>
                    <w:t>扫描距离：</w:t>
                  </w:r>
                  <w:r>
                    <w:rPr>
                      <w:rFonts w:ascii="仿宋_GB2312" w:hAnsi="仿宋_GB2312" w:cs="仿宋_GB2312" w:eastAsia="仿宋_GB2312"/>
                      <w:sz w:val="21"/>
                    </w:rPr>
                    <w:t>≥</w:t>
                  </w:r>
                  <w:r>
                    <w:rPr>
                      <w:rFonts w:ascii="仿宋_GB2312" w:hAnsi="仿宋_GB2312" w:cs="仿宋_GB2312" w:eastAsia="仿宋_GB2312"/>
                      <w:sz w:val="21"/>
                    </w:rPr>
                    <w:t>120</w:t>
                  </w:r>
                  <w:r>
                    <w:rPr>
                      <w:rFonts w:ascii="仿宋_GB2312" w:hAnsi="仿宋_GB2312" w:cs="仿宋_GB2312" w:eastAsia="仿宋_GB2312"/>
                      <w:sz w:val="21"/>
                    </w:rPr>
                    <w:t>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 激光雷达线束：≥32线。</w:t>
                  </w:r>
                </w:p>
                <w:p>
                  <w:pPr>
                    <w:pStyle w:val="null3"/>
                    <w:jc w:val="both"/>
                  </w:pPr>
                  <w:r>
                    <w:rPr>
                      <w:rFonts w:ascii="仿宋_GB2312" w:hAnsi="仿宋_GB2312" w:cs="仿宋_GB2312" w:eastAsia="仿宋_GB2312"/>
                      <w:sz w:val="21"/>
                    </w:rPr>
                    <w:t>5. 扫描频率：≥3</w:t>
                  </w:r>
                  <w:r>
                    <w:rPr>
                      <w:rFonts w:ascii="仿宋_GB2312" w:hAnsi="仿宋_GB2312" w:cs="仿宋_GB2312" w:eastAsia="仿宋_GB2312"/>
                      <w:sz w:val="21"/>
                    </w:rPr>
                    <w:t>2</w:t>
                  </w:r>
                  <w:r>
                    <w:rPr>
                      <w:rFonts w:ascii="仿宋_GB2312" w:hAnsi="仿宋_GB2312" w:cs="仿宋_GB2312" w:eastAsia="仿宋_GB2312"/>
                      <w:sz w:val="21"/>
                    </w:rPr>
                    <w:t>万点</w:t>
                  </w:r>
                  <w:r>
                    <w:rPr>
                      <w:rFonts w:ascii="仿宋_GB2312" w:hAnsi="仿宋_GB2312" w:cs="仿宋_GB2312" w:eastAsia="仿宋_GB2312"/>
                      <w:sz w:val="21"/>
                    </w:rPr>
                    <w:t>/秒。</w:t>
                  </w:r>
                </w:p>
                <w:p>
                  <w:pPr>
                    <w:pStyle w:val="null3"/>
                    <w:jc w:val="both"/>
                  </w:pPr>
                  <w:r>
                    <w:rPr>
                      <w:rFonts w:ascii="仿宋_GB2312" w:hAnsi="仿宋_GB2312" w:cs="仿宋_GB2312" w:eastAsia="仿宋_GB2312"/>
                      <w:sz w:val="21"/>
                    </w:rPr>
                    <w:t>6. 激光雷达作业方式：1个激光雷达自</w:t>
                  </w:r>
                  <w:r>
                    <w:rPr>
                      <w:rFonts w:ascii="仿宋_GB2312" w:hAnsi="仿宋_GB2312" w:cs="仿宋_GB2312" w:eastAsia="仿宋_GB2312"/>
                      <w:sz w:val="21"/>
                    </w:rPr>
                    <w:t>动旋转式。</w:t>
                  </w:r>
                </w:p>
                <w:p>
                  <w:pPr>
                    <w:pStyle w:val="null3"/>
                    <w:jc w:val="left"/>
                  </w:pPr>
                  <w:r>
                    <w:rPr>
                      <w:rFonts w:ascii="仿宋_GB2312" w:hAnsi="仿宋_GB2312" w:cs="仿宋_GB2312" w:eastAsia="仿宋_GB2312"/>
                      <w:sz w:val="21"/>
                    </w:rPr>
                    <w:t>▲7. 相机：设备内置≥高清全景相机2</w:t>
                  </w:r>
                  <w:r>
                    <w:rPr>
                      <w:rFonts w:ascii="仿宋_GB2312" w:hAnsi="仿宋_GB2312" w:cs="仿宋_GB2312" w:eastAsia="仿宋_GB2312"/>
                      <w:sz w:val="21"/>
                    </w:rPr>
                    <w:t>台，</w:t>
                  </w:r>
                  <w:r>
                    <w:rPr>
                      <w:rFonts w:ascii="仿宋_GB2312" w:hAnsi="仿宋_GB2312" w:cs="仿宋_GB2312" w:eastAsia="仿宋_GB2312"/>
                      <w:sz w:val="21"/>
                    </w:rPr>
                    <w:t>像素</w:t>
                  </w:r>
                  <w:r>
                    <w:rPr>
                      <w:rFonts w:ascii="仿宋_GB2312" w:hAnsi="仿宋_GB2312" w:cs="仿宋_GB2312" w:eastAsia="仿宋_GB2312"/>
                      <w:sz w:val="21"/>
                    </w:rPr>
                    <w:t>≥2100万，高级防抖。</w:t>
                  </w:r>
                </w:p>
                <w:p>
                  <w:pPr>
                    <w:pStyle w:val="null3"/>
                    <w:jc w:val="both"/>
                  </w:pPr>
                  <w:r>
                    <w:rPr>
                      <w:rFonts w:ascii="仿宋_GB2312" w:hAnsi="仿宋_GB2312" w:cs="仿宋_GB2312" w:eastAsia="仿宋_GB2312"/>
                      <w:sz w:val="21"/>
                    </w:rPr>
                    <w:t>▲8. GNSS天线：外置天线模块，天线可拆装；支持更换单北斗天线。</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 RTK精度：平面8mm+1ppm，高程15mm+1ppm。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 IMU性能：IMU与激光雷达同步旋转。</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 精度保证：具备自动校准。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 定位方式：支持SLAM定位扫描，支持RTK，可以实现RTK-SLAM技术定位扫描。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 多功能模式：具有背架，支持手持模式、背负作业模式，同时可以快速改装到车载、推车等平台使用。</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 绝对精度：</w:t>
                  </w:r>
                  <w:r>
                    <w:rPr>
                      <w:rFonts w:ascii="仿宋_GB2312" w:hAnsi="仿宋_GB2312" w:cs="仿宋_GB2312" w:eastAsia="仿宋_GB2312"/>
                      <w:sz w:val="21"/>
                    </w:rPr>
                    <w:t>在</w:t>
                  </w:r>
                  <w:r>
                    <w:rPr>
                      <w:rFonts w:ascii="仿宋_GB2312" w:hAnsi="仿宋_GB2312" w:cs="仿宋_GB2312" w:eastAsia="仿宋_GB2312"/>
                      <w:sz w:val="21"/>
                    </w:rPr>
                    <w:t>≥20000平方米面积的区域内，点云坐标精度≤</w:t>
                  </w:r>
                  <w:r>
                    <w:rPr>
                      <w:rFonts w:ascii="仿宋_GB2312" w:hAnsi="仿宋_GB2312" w:cs="仿宋_GB2312" w:eastAsia="仿宋_GB2312"/>
                      <w:sz w:val="21"/>
                    </w:rPr>
                    <w:t>3.0</w:t>
                  </w:r>
                  <w:r>
                    <w:rPr>
                      <w:rFonts w:ascii="仿宋_GB2312" w:hAnsi="仿宋_GB2312" w:cs="仿宋_GB2312" w:eastAsia="仿宋_GB2312"/>
                      <w:sz w:val="21"/>
                    </w:rPr>
                    <w:t>cm。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 相对精度：两点间的独立坐标距离精度≤</w:t>
                  </w:r>
                  <w:r>
                    <w:rPr>
                      <w:rFonts w:ascii="仿宋_GB2312" w:hAnsi="仿宋_GB2312" w:cs="仿宋_GB2312" w:eastAsia="仿宋_GB2312"/>
                      <w:sz w:val="21"/>
                    </w:rPr>
                    <w:t>1</w:t>
                  </w:r>
                  <w:r>
                    <w:rPr>
                      <w:rFonts w:ascii="仿宋_GB2312" w:hAnsi="仿宋_GB2312" w:cs="仿宋_GB2312" w:eastAsia="仿宋_GB2312"/>
                      <w:sz w:val="21"/>
                    </w:rPr>
                    <w:t>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 点云厚度：≤1cm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 点云密度：距轨迹线30m两侧内的点云密度≥1万点/平方米。</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 建筑点云棱角：直角，非圆弧。</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 工作时间：一组电池180分钟。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 单次不间断扫描作业：一次性持续采集作业不限时长、不限距离，一次性90分钟采集作业获得的点云成果能够满足点云绝对坐标精度、垂直度精度等。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 电池：每块电池至少具有2个充电接口，电池带有液晶屏幕显示电压、电流和电量，每块电池至少具有2个USB接口，每块电池电量99Wh。</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 供电方式：支持电池热插拔，支持激光雷达与控制主机两路分别供电。</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 充电器：液晶屏幕显示充电时间、电池电量，满足2块电池同时独立充电，两块电池充电互不影响。</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 数据存储：设备内置固态硬盘≥1TB。</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 主机接口：USB 3.0。</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 工作温度范围：－25℃～65℃。</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 数据采集软件功能：利用移动终端浏览器通过WIFI控制设备运行；支持利用移动终端按图标采集控制点；支持利用移动终端设置工程文件名称；支持查看作业时长、电池电量、存储空间、数据容量等信息。</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 实时直出点云：支持作业过程中移动终端实时显示点云；支持实时显示点云视角跟随浏览；支持将采集过程中实时显示的点云数据在采集完成后随原始数据直接导出；支持选择是否使用实时显示功能；支持采集过程中实时显示点云拼接过程，包括以高程显示点云拼接过程，激光雷达扫描过程，行走路线过程。</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 数据处理软件功能：支持利用参数自动转换为本地坐标；</w:t>
                  </w:r>
                </w:p>
                <w:p>
                  <w:pPr>
                    <w:pStyle w:val="null3"/>
                    <w:jc w:val="both"/>
                  </w:pPr>
                  <w:r>
                    <w:rPr>
                      <w:rFonts w:ascii="仿宋_GB2312" w:hAnsi="仿宋_GB2312" w:cs="仿宋_GB2312" w:eastAsia="仿宋_GB2312"/>
                      <w:sz w:val="21"/>
                    </w:rPr>
                    <w:t>30</w:t>
                  </w:r>
                  <w:r>
                    <w:rPr>
                      <w:rFonts w:ascii="仿宋_GB2312" w:hAnsi="仿宋_GB2312" w:cs="仿宋_GB2312" w:eastAsia="仿宋_GB2312"/>
                      <w:sz w:val="21"/>
                    </w:rPr>
                    <w:t>. 数据处理软件功能：支持依据经纬度进行高程拟合；</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 支持依据经纬度进行高程拟合；手动GCP功能支持利用点云刺点的坐标进行坐标转换；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2</w:t>
                  </w:r>
                  <w:r>
                    <w:rPr>
                      <w:rFonts w:ascii="仿宋_GB2312" w:hAnsi="仿宋_GB2312" w:cs="仿宋_GB2312" w:eastAsia="仿宋_GB2312"/>
                      <w:sz w:val="21"/>
                    </w:rPr>
                    <w:t>. 移动物体去除功能可以自动删除点云中移动物体引起的噪点；</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3</w:t>
                  </w:r>
                  <w:r>
                    <w:rPr>
                      <w:rFonts w:ascii="仿宋_GB2312" w:hAnsi="仿宋_GB2312" w:cs="仿宋_GB2312" w:eastAsia="仿宋_GB2312"/>
                      <w:sz w:val="21"/>
                    </w:rPr>
                    <w:t>. 支持大范围空间的手动闭环设置；</w:t>
                  </w:r>
                </w:p>
                <w:p>
                  <w:pPr>
                    <w:pStyle w:val="null3"/>
                    <w:jc w:val="both"/>
                  </w:pPr>
                  <w:r>
                    <w:rPr>
                      <w:rFonts w:ascii="仿宋_GB2312" w:hAnsi="仿宋_GB2312" w:cs="仿宋_GB2312" w:eastAsia="仿宋_GB2312"/>
                      <w:sz w:val="21"/>
                    </w:rPr>
                    <w:t>支持多工程文件批量处理方式；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 数据处理时支持显示数据处理过程状态，包括以高程显示点云拼接过程、激光雷达扫描过程、行走路线过程、数据处理所用时间；</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 支持点云合并、点云抽稀等功能。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6</w:t>
                  </w:r>
                  <w:r>
                    <w:rPr>
                      <w:rFonts w:ascii="仿宋_GB2312" w:hAnsi="仿宋_GB2312" w:cs="仿宋_GB2312" w:eastAsia="仿宋_GB2312"/>
                      <w:sz w:val="21"/>
                    </w:rPr>
                    <w:t>. 参数设置：可设置数据处理范围，支持调整数据采集路线的终点；支持调整点云拼接的特征密度等参数，支持弱纹理模式数据解算。</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 数据展示软件功能：支持行进轨迹、透明度可调节的全景图片与点云数据的套合浏览；</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8</w:t>
                  </w:r>
                  <w:r>
                    <w:rPr>
                      <w:rFonts w:ascii="仿宋_GB2312" w:hAnsi="仿宋_GB2312" w:cs="仿宋_GB2312" w:eastAsia="仿宋_GB2312"/>
                      <w:sz w:val="21"/>
                    </w:rPr>
                    <w:t>.支持点云和全景图像双窗口显示，点云和全景图像联动；</w:t>
                  </w:r>
                </w:p>
                <w:p>
                  <w:pPr>
                    <w:pStyle w:val="null3"/>
                    <w:jc w:val="both"/>
                  </w:pPr>
                  <w:r>
                    <w:rPr>
                      <w:rFonts w:ascii="仿宋_GB2312" w:hAnsi="仿宋_GB2312" w:cs="仿宋_GB2312" w:eastAsia="仿宋_GB2312"/>
                      <w:sz w:val="21"/>
                    </w:rPr>
                    <w:t>39</w:t>
                  </w:r>
                  <w:r>
                    <w:rPr>
                      <w:rFonts w:ascii="仿宋_GB2312" w:hAnsi="仿宋_GB2312" w:cs="仿宋_GB2312" w:eastAsia="仿宋_GB2312"/>
                      <w:sz w:val="21"/>
                    </w:rPr>
                    <w:t>.支持沿轨迹线的前进方向浏览点云模型和全景图像，支持点云漫游功能；</w:t>
                  </w:r>
                </w:p>
                <w:p>
                  <w:pPr>
                    <w:pStyle w:val="null3"/>
                    <w:jc w:val="both"/>
                  </w:pPr>
                  <w:r>
                    <w:rPr>
                      <w:rFonts w:ascii="仿宋_GB2312" w:hAnsi="仿宋_GB2312" w:cs="仿宋_GB2312" w:eastAsia="仿宋_GB2312"/>
                      <w:sz w:val="21"/>
                    </w:rPr>
                    <w:t>40</w:t>
                  </w:r>
                  <w:r>
                    <w:rPr>
                      <w:rFonts w:ascii="仿宋_GB2312" w:hAnsi="仿宋_GB2312" w:cs="仿宋_GB2312" w:eastAsia="仿宋_GB2312"/>
                      <w:sz w:val="21"/>
                    </w:rPr>
                    <w:t>.支持点云测量、裁剪盒、强度高程显示模式、EDL显示模式等功能。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rPr>
                    <w:t>. 三维实景自动建模软件：配套正版三维实景自动建模软件，利用三维点云自动生成Mesh模型；</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2</w:t>
                  </w:r>
                  <w:r>
                    <w:rPr>
                      <w:rFonts w:ascii="仿宋_GB2312" w:hAnsi="仿宋_GB2312" w:cs="仿宋_GB2312" w:eastAsia="仿宋_GB2312"/>
                      <w:sz w:val="21"/>
                    </w:rPr>
                    <w:t>.支持导出obj/osgb等通用格式模型；</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3</w:t>
                  </w:r>
                  <w:r>
                    <w:rPr>
                      <w:rFonts w:ascii="仿宋_GB2312" w:hAnsi="仿宋_GB2312" w:cs="仿宋_GB2312" w:eastAsia="仿宋_GB2312"/>
                      <w:sz w:val="21"/>
                    </w:rPr>
                    <w:t>.支持直接导入第三方修模软件处理；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4</w:t>
                  </w:r>
                  <w:r>
                    <w:rPr>
                      <w:rFonts w:ascii="仿宋_GB2312" w:hAnsi="仿宋_GB2312" w:cs="仿宋_GB2312" w:eastAsia="仿宋_GB2312"/>
                      <w:sz w:val="21"/>
                    </w:rPr>
                    <w:t>.支持实时显示建模过程、显示整体建模进度。</w:t>
                  </w:r>
                </w:p>
                <w:p>
                  <w:pPr>
                    <w:pStyle w:val="null3"/>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架站式三维激光扫描仪</w:t>
                  </w:r>
                  <w:r>
                    <w:rPr>
                      <w:rFonts w:ascii="仿宋_GB2312" w:hAnsi="仿宋_GB2312" w:cs="仿宋_GB2312" w:eastAsia="仿宋_GB2312"/>
                      <w:sz w:val="21"/>
                      <w:b/>
                      <w:color w:val="000000"/>
                    </w:rPr>
                    <w:t>1台（核心产品）</w:t>
                  </w:r>
                </w:p>
                <w:p>
                  <w:pPr>
                    <w:pStyle w:val="null3"/>
                    <w:jc w:val="left"/>
                  </w:pPr>
                  <w:r>
                    <w:rPr>
                      <w:rFonts w:ascii="仿宋_GB2312" w:hAnsi="仿宋_GB2312" w:cs="仿宋_GB2312" w:eastAsia="仿宋_GB2312"/>
                      <w:sz w:val="21"/>
                      <w:color w:val="000000"/>
                    </w:rPr>
                    <w:t>1.扫描距离：最大扫描距离≥100m，最小扫描距离≤0.6m。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2.测距精度：测距精度需</w:t>
                  </w:r>
                  <w:r>
                    <w:rPr>
                      <w:rFonts w:ascii="仿宋_GB2312" w:hAnsi="仿宋_GB2312" w:cs="仿宋_GB2312" w:eastAsia="仿宋_GB2312"/>
                      <w:sz w:val="21"/>
                      <w:color w:val="000000"/>
                    </w:rPr>
                    <w:t>满足</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m时</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3.测角精度：最大测角精度≤8"。</w:t>
                  </w:r>
                </w:p>
                <w:p>
                  <w:pPr>
                    <w:pStyle w:val="null3"/>
                    <w:jc w:val="left"/>
                  </w:pPr>
                  <w:r>
                    <w:rPr>
                      <w:rFonts w:ascii="仿宋_GB2312" w:hAnsi="仿宋_GB2312" w:cs="仿宋_GB2312" w:eastAsia="仿宋_GB2312"/>
                      <w:sz w:val="21"/>
                      <w:color w:val="000000"/>
                    </w:rPr>
                    <w:t>4.扫描速度：扫描速度≥50万点/秒。</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.数据传输:支持WLAN</w:t>
                  </w:r>
                  <w:r>
                    <w:rPr>
                      <w:rFonts w:ascii="仿宋_GB2312" w:hAnsi="仿宋_GB2312" w:cs="仿宋_GB2312" w:eastAsia="仿宋_GB2312"/>
                      <w:sz w:val="21"/>
                      <w:color w:val="000000"/>
                    </w:rPr>
                    <w:t>，</w:t>
                  </w:r>
                  <w:r>
                    <w:rPr>
                      <w:rFonts w:ascii="仿宋_GB2312" w:hAnsi="仿宋_GB2312" w:cs="仿宋_GB2312" w:eastAsia="仿宋_GB2312"/>
                      <w:sz w:val="21"/>
                      <w:color w:val="000000"/>
                    </w:rPr>
                    <w:t>远程控制</w:t>
                  </w:r>
                  <w:r>
                    <w:rPr>
                      <w:rFonts w:ascii="仿宋_GB2312" w:hAnsi="仿宋_GB2312" w:cs="仿宋_GB2312" w:eastAsia="仿宋_GB2312"/>
                      <w:sz w:val="21"/>
                      <w:color w:val="000000"/>
                    </w:rPr>
                    <w:t>，</w:t>
                  </w:r>
                  <w:r>
                    <w:rPr>
                      <w:rFonts w:ascii="仿宋_GB2312" w:hAnsi="仿宋_GB2312" w:cs="仿宋_GB2312" w:eastAsia="仿宋_GB2312"/>
                      <w:sz w:val="21"/>
                      <w:color w:val="000000"/>
                    </w:rPr>
                    <w:t>或</w:t>
                  </w:r>
                  <w:r>
                    <w:rPr>
                      <w:rFonts w:ascii="仿宋_GB2312" w:hAnsi="仿宋_GB2312" w:cs="仿宋_GB2312" w:eastAsia="仿宋_GB2312"/>
                      <w:sz w:val="21"/>
                      <w:color w:val="000000"/>
                    </w:rPr>
                    <w:t>USB接口或SD卡存储。</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.运行内存：≥16G</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.存储容量:</w:t>
                  </w:r>
                  <w:r>
                    <w:rPr>
                      <w:rFonts w:ascii="仿宋_GB2312" w:hAnsi="仿宋_GB2312" w:cs="仿宋_GB2312" w:eastAsia="仿宋_GB2312"/>
                      <w:sz w:val="21"/>
                      <w:color w:val="000000"/>
                    </w:rPr>
                    <w:t>需要支持外置可扩展标准</w:t>
                  </w:r>
                  <w:r>
                    <w:rPr>
                      <w:rFonts w:ascii="仿宋_GB2312" w:hAnsi="仿宋_GB2312" w:cs="仿宋_GB2312" w:eastAsia="仿宋_GB2312"/>
                      <w:sz w:val="21"/>
                      <w:color w:val="000000"/>
                    </w:rPr>
                    <w:t>U盘</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.工作温度:-20℃至+</w:t>
                  </w:r>
                  <w:r>
                    <w:rPr>
                      <w:rFonts w:ascii="仿宋_GB2312" w:hAnsi="仿宋_GB2312" w:cs="仿宋_GB2312" w:eastAsia="仿宋_GB2312"/>
                      <w:sz w:val="21"/>
                      <w:color w:val="000000"/>
                    </w:rPr>
                    <w:t>50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设备配有风冷装置。</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.防护等级 :优于或者等于IP54</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.附件扩展接口：需要具有附件拓展接口，可用于将多种附件连接到扫描仪</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.具有重新扫描远距离靶标功能：需要具有在较远距离处以更高的分辨率重新捕获定义的区域。</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.相机系统:内置双相机</w:t>
                  </w:r>
                  <w:r>
                    <w:rPr>
                      <w:rFonts w:ascii="仿宋_GB2312" w:hAnsi="仿宋_GB2312" w:cs="仿宋_GB2312" w:eastAsia="仿宋_GB2312"/>
                      <w:sz w:val="21"/>
                      <w:color w:val="000000"/>
                    </w:rPr>
                    <w:t>并须外加两个相机（</w:t>
                  </w:r>
                  <w:r>
                    <w:rPr>
                      <w:rFonts w:ascii="仿宋_GB2312" w:hAnsi="仿宋_GB2312" w:cs="仿宋_GB2312" w:eastAsia="仿宋_GB2312"/>
                      <w:sz w:val="21"/>
                      <w:color w:val="000000"/>
                    </w:rPr>
                    <w:t>12MP鱼眼相机+3个12MP相机，分辨率每个影像4056X3040像素</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.视场角:水平360,垂直≥2</w:t>
                  </w:r>
                  <w:r>
                    <w:rPr>
                      <w:rFonts w:ascii="仿宋_GB2312" w:hAnsi="仿宋_GB2312" w:cs="仿宋_GB2312" w:eastAsia="仿宋_GB2312"/>
                      <w:sz w:val="21"/>
                      <w:color w:val="000000"/>
                    </w:rPr>
                    <w:t>70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14.软件功能需求</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1具有隧道全断面变形监测功能：可实现对隧道全断面的全方位变形监测。</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2具有超欠挖检测与三维色谱分析功能：具备超精准判定隧道开挖过程中的超挖、欠挖情况，并进行评定。同时，借助三维色谱分析功能，可视化呈现检测结果。</w:t>
                  </w:r>
                </w:p>
                <w:p>
                  <w:pPr>
                    <w:pStyle w:val="null3"/>
                    <w:jc w:val="left"/>
                  </w:pPr>
                  <w:r>
                    <w:rPr>
                      <w:rFonts w:ascii="仿宋_GB2312" w:hAnsi="仿宋_GB2312" w:cs="仿宋_GB2312" w:eastAsia="仿宋_GB2312"/>
                      <w:sz w:val="21"/>
                      <w:color w:val="000000"/>
                    </w:rPr>
                    <w:t>14.3</w:t>
                  </w:r>
                  <w:r>
                    <w:rPr>
                      <w:rFonts w:ascii="仿宋_GB2312" w:hAnsi="仿宋_GB2312" w:cs="仿宋_GB2312" w:eastAsia="仿宋_GB2312"/>
                      <w:sz w:val="21"/>
                      <w:color w:val="000000"/>
                    </w:rPr>
                    <w:t>具有初支平整度分析与查看功能：能够对隧道初期支护的平整度进行分析与查看，通过数据处理与分析检测初支表面的起伏情况。</w:t>
                  </w:r>
                </w:p>
                <w:p>
                  <w:pPr>
                    <w:pStyle w:val="null3"/>
                    <w:jc w:val="left"/>
                  </w:pPr>
                  <w:r>
                    <w:rPr>
                      <w:rFonts w:ascii="仿宋_GB2312" w:hAnsi="仿宋_GB2312" w:cs="仿宋_GB2312" w:eastAsia="仿宋_GB2312"/>
                      <w:sz w:val="21"/>
                      <w:color w:val="000000"/>
                    </w:rPr>
                    <w:t>14.4</w:t>
                  </w:r>
                  <w:r>
                    <w:rPr>
                      <w:rFonts w:ascii="仿宋_GB2312" w:hAnsi="仿宋_GB2312" w:cs="仿宋_GB2312" w:eastAsia="仿宋_GB2312"/>
                      <w:sz w:val="21"/>
                      <w:color w:val="000000"/>
                    </w:rPr>
                    <w:t>具有初支、二衬净空侵限检测功能：支持对隧道初期支护和二次衬砌的净空侵限检测，并预警净空尺寸不符合设计要求的情况。</w:t>
                  </w:r>
                </w:p>
                <w:p>
                  <w:pPr>
                    <w:pStyle w:val="null3"/>
                    <w:jc w:val="left"/>
                  </w:pPr>
                  <w:r>
                    <w:rPr>
                      <w:rFonts w:ascii="仿宋_GB2312" w:hAnsi="仿宋_GB2312" w:cs="仿宋_GB2312" w:eastAsia="仿宋_GB2312"/>
                      <w:sz w:val="21"/>
                      <w:color w:val="000000"/>
                    </w:rPr>
                    <w:t>14.5</w:t>
                  </w:r>
                  <w:r>
                    <w:rPr>
                      <w:rFonts w:ascii="仿宋_GB2312" w:hAnsi="仿宋_GB2312" w:cs="仿宋_GB2312" w:eastAsia="仿宋_GB2312"/>
                      <w:sz w:val="21"/>
                      <w:color w:val="000000"/>
                    </w:rPr>
                    <w:t>具有工程方量计算与报告生成功能：可计算隧道开挖量、喷浆方量、衬砌厚度等关键工程方量数据，并自动生成报告。报告内容</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涵盖数据计算过程、分析结果及相关图表。</w:t>
                  </w:r>
                </w:p>
                <w:p>
                  <w:pPr>
                    <w:pStyle w:val="null3"/>
                    <w:jc w:val="left"/>
                  </w:pPr>
                  <w:r>
                    <w:rPr>
                      <w:rFonts w:ascii="仿宋_GB2312" w:hAnsi="仿宋_GB2312" w:cs="仿宋_GB2312" w:eastAsia="仿宋_GB2312"/>
                      <w:sz w:val="21"/>
                      <w:color w:val="000000"/>
                    </w:rPr>
                    <w:t>14.6</w:t>
                  </w:r>
                  <w:r>
                    <w:rPr>
                      <w:rFonts w:ascii="仿宋_GB2312" w:hAnsi="仿宋_GB2312" w:cs="仿宋_GB2312" w:eastAsia="仿宋_GB2312"/>
                      <w:sz w:val="21"/>
                      <w:color w:val="000000"/>
                    </w:rPr>
                    <w:t>具有三维点云拼接存档与</w:t>
                  </w:r>
                  <w:r>
                    <w:rPr>
                      <w:rFonts w:ascii="仿宋_GB2312" w:hAnsi="仿宋_GB2312" w:cs="仿宋_GB2312" w:eastAsia="仿宋_GB2312"/>
                      <w:sz w:val="21"/>
                      <w:color w:val="000000"/>
                    </w:rPr>
                    <w:t>3D 浏览功能：支持隧道三维点云数据拼接与存档，同时提供3D 浏览功能，可全方位、多角度查看隧道三维模型。</w:t>
                  </w:r>
                </w:p>
                <w:p>
                  <w:pPr>
                    <w:pStyle w:val="null3"/>
                    <w:jc w:val="left"/>
                  </w:pPr>
                  <w:r>
                    <w:rPr>
                      <w:rFonts w:ascii="仿宋_GB2312" w:hAnsi="仿宋_GB2312" w:cs="仿宋_GB2312" w:eastAsia="仿宋_GB2312"/>
                      <w:sz w:val="21"/>
                      <w:color w:val="000000"/>
                    </w:rPr>
                    <w:t>14.7</w:t>
                  </w:r>
                  <w:r>
                    <w:rPr>
                      <w:rFonts w:ascii="仿宋_GB2312" w:hAnsi="仿宋_GB2312" w:cs="仿宋_GB2312" w:eastAsia="仿宋_GB2312"/>
                      <w:sz w:val="21"/>
                      <w:color w:val="000000"/>
                    </w:rPr>
                    <w:t>具有隧道场景二维展开与展开图生成功能：具备隧道各场景二维展开功能，将隧道三维结构转换为二维展开图。</w:t>
                  </w:r>
                </w:p>
                <w:p>
                  <w:pPr>
                    <w:pStyle w:val="null3"/>
                    <w:jc w:val="left"/>
                  </w:pPr>
                  <w:r>
                    <w:rPr>
                      <w:rFonts w:ascii="仿宋_GB2312" w:hAnsi="仿宋_GB2312" w:cs="仿宋_GB2312" w:eastAsia="仿宋_GB2312"/>
                      <w:sz w:val="21"/>
                      <w:color w:val="000000"/>
                    </w:rPr>
                    <w:t>14.8</w:t>
                  </w:r>
                  <w:r>
                    <w:rPr>
                      <w:rFonts w:ascii="仿宋_GB2312" w:hAnsi="仿宋_GB2312" w:cs="仿宋_GB2312" w:eastAsia="仿宋_GB2312"/>
                      <w:sz w:val="21"/>
                      <w:color w:val="000000"/>
                    </w:rPr>
                    <w:t>具有隧道衬砌表观缺陷图像识别功能：对隧道衬砌表观缺陷进行智能识别，可检测裂缝、剥落等缺陷。</w:t>
                  </w:r>
                </w:p>
                <w:p>
                  <w:pPr>
                    <w:pStyle w:val="null3"/>
                    <w:jc w:val="left"/>
                  </w:pPr>
                  <w:r>
                    <w:rPr>
                      <w:rFonts w:ascii="仿宋_GB2312" w:hAnsi="仿宋_GB2312" w:cs="仿宋_GB2312" w:eastAsia="仿宋_GB2312"/>
                      <w:sz w:val="21"/>
                      <w:color w:val="000000"/>
                    </w:rPr>
                    <w:t>14.9</w:t>
                  </w:r>
                  <w:r>
                    <w:rPr>
                      <w:rFonts w:ascii="仿宋_GB2312" w:hAnsi="仿宋_GB2312" w:cs="仿宋_GB2312" w:eastAsia="仿宋_GB2312"/>
                      <w:sz w:val="21"/>
                      <w:color w:val="000000"/>
                    </w:rPr>
                    <w:t>具有三维数据噪点自动去除降噪功能：拥有三维数据噪点自动去除降噪功能，对采集的三维数据进行优化处理。</w:t>
                  </w:r>
                </w:p>
                <w:p>
                  <w:pPr>
                    <w:pStyle w:val="null3"/>
                    <w:jc w:val="left"/>
                  </w:pPr>
                  <w:r>
                    <w:rPr>
                      <w:rFonts w:ascii="仿宋_GB2312" w:hAnsi="仿宋_GB2312" w:cs="仿宋_GB2312" w:eastAsia="仿宋_GB2312"/>
                      <w:sz w:val="21"/>
                      <w:color w:val="000000"/>
                    </w:rPr>
                    <w:t>14.10</w:t>
                  </w:r>
                  <w:r>
                    <w:rPr>
                      <w:rFonts w:ascii="仿宋_GB2312" w:hAnsi="仿宋_GB2312" w:cs="仿宋_GB2312" w:eastAsia="仿宋_GB2312"/>
                      <w:sz w:val="21"/>
                      <w:color w:val="000000"/>
                    </w:rPr>
                    <w:t>具有多格式点云文件直读功能：支持直读</w:t>
                  </w:r>
                  <w:r>
                    <w:rPr>
                      <w:rFonts w:ascii="仿宋_GB2312" w:hAnsi="仿宋_GB2312" w:cs="仿宋_GB2312" w:eastAsia="仿宋_GB2312"/>
                      <w:sz w:val="21"/>
                      <w:color w:val="000000"/>
                    </w:rPr>
                    <w:t>Tlas、Clr、Encr、Tkz 和 Tzf 等多种常见点云格式文件。</w:t>
                  </w:r>
                </w:p>
                <w:p>
                  <w:pPr>
                    <w:pStyle w:val="null3"/>
                    <w:jc w:val="left"/>
                  </w:pPr>
                  <w:r>
                    <w:rPr>
                      <w:rFonts w:ascii="仿宋_GB2312" w:hAnsi="仿宋_GB2312" w:cs="仿宋_GB2312" w:eastAsia="仿宋_GB2312"/>
                      <w:sz w:val="21"/>
                      <w:color w:val="000000"/>
                    </w:rPr>
                    <w:t>14.11</w:t>
                  </w:r>
                  <w:r>
                    <w:rPr>
                      <w:rFonts w:ascii="仿宋_GB2312" w:hAnsi="仿宋_GB2312" w:cs="仿宋_GB2312" w:eastAsia="仿宋_GB2312"/>
                      <w:sz w:val="21"/>
                      <w:color w:val="000000"/>
                    </w:rPr>
                    <w:t>具有任意间距横断面截取功能：可根据工程需求，在隧道模型中进行任意间距的横断面截取操作，获取不同位置的断面数据。</w:t>
                  </w:r>
                </w:p>
                <w:p>
                  <w:pPr>
                    <w:pStyle w:val="null3"/>
                    <w:jc w:val="left"/>
                  </w:pPr>
                  <w:r>
                    <w:rPr>
                      <w:rFonts w:ascii="仿宋_GB2312" w:hAnsi="仿宋_GB2312" w:cs="仿宋_GB2312" w:eastAsia="仿宋_GB2312"/>
                      <w:sz w:val="21"/>
                      <w:color w:val="000000"/>
                    </w:rPr>
                    <w:t>14.12</w:t>
                  </w:r>
                  <w:r>
                    <w:rPr>
                      <w:rFonts w:ascii="仿宋_GB2312" w:hAnsi="仿宋_GB2312" w:cs="仿宋_GB2312" w:eastAsia="仿宋_GB2312"/>
                      <w:sz w:val="21"/>
                      <w:color w:val="000000"/>
                    </w:rPr>
                    <w:t>具有线路、断面数据一键导入功能：提供线路、断面数据一键导入功能。</w:t>
                  </w:r>
                </w:p>
                <w:p>
                  <w:pPr>
                    <w:pStyle w:val="null3"/>
                    <w:jc w:val="left"/>
                  </w:pPr>
                  <w:r>
                    <w:rPr>
                      <w:rFonts w:ascii="仿宋_GB2312" w:hAnsi="仿宋_GB2312" w:cs="仿宋_GB2312" w:eastAsia="仿宋_GB2312"/>
                      <w:sz w:val="21"/>
                      <w:color w:val="000000"/>
                    </w:rPr>
                    <w:t>14.13</w:t>
                  </w:r>
                  <w:r>
                    <w:rPr>
                      <w:rFonts w:ascii="仿宋_GB2312" w:hAnsi="仿宋_GB2312" w:cs="仿宋_GB2312" w:eastAsia="仿宋_GB2312"/>
                      <w:sz w:val="21"/>
                      <w:color w:val="000000"/>
                    </w:rPr>
                    <w:t>具有工程坐标注册功能：支持工程坐标注册，确保测量数据与实际工程坐标系统的精准匹配。</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14</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DXF 点云断面提取功能：具备 DXF 点云断面提取功能，可从点云数据中提取所需的断面信息，并生成 DXF 格式文件。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14.15</w:t>
                  </w:r>
                  <w:r>
                    <w:rPr>
                      <w:rFonts w:ascii="仿宋_GB2312" w:hAnsi="仿宋_GB2312" w:cs="仿宋_GB2312" w:eastAsia="仿宋_GB2312"/>
                      <w:sz w:val="21"/>
                      <w:color w:val="000000"/>
                    </w:rPr>
                    <w:t>具有掌子面三维地质结构数字孪生功能：隧道围岩地质快速数据采集，手机快速离线合成，高精度三维地质模型，高清合成照片</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14.16</w:t>
                  </w:r>
                  <w:r>
                    <w:rPr>
                      <w:rFonts w:ascii="仿宋_GB2312" w:hAnsi="仿宋_GB2312" w:cs="仿宋_GB2312" w:eastAsia="仿宋_GB2312"/>
                      <w:sz w:val="21"/>
                      <w:color w:val="000000"/>
                    </w:rPr>
                    <w:t>具有掌子面各类长大结构面离线识别功能：能够快速、准确地定位和识别掌子面中的长大结构面，包括断层、裂隙等。</w:t>
                  </w:r>
                </w:p>
                <w:p>
                  <w:pPr>
                    <w:pStyle w:val="null3"/>
                    <w:jc w:val="left"/>
                  </w:pPr>
                  <w:r>
                    <w:rPr>
                      <w:rFonts w:ascii="仿宋_GB2312" w:hAnsi="仿宋_GB2312" w:cs="仿宋_GB2312" w:eastAsia="仿宋_GB2312"/>
                      <w:sz w:val="21"/>
                      <w:color w:val="000000"/>
                    </w:rPr>
                    <w:t>14.17</w:t>
                  </w:r>
                  <w:r>
                    <w:rPr>
                      <w:rFonts w:ascii="仿宋_GB2312" w:hAnsi="仿宋_GB2312" w:cs="仿宋_GB2312" w:eastAsia="仿宋_GB2312"/>
                      <w:sz w:val="21"/>
                      <w:color w:val="000000"/>
                    </w:rPr>
                    <w:t>具有岩体完整性分析功能：通过智能</w:t>
                  </w:r>
                  <w:r>
                    <w:rPr>
                      <w:rFonts w:ascii="仿宋_GB2312" w:hAnsi="仿宋_GB2312" w:cs="仿宋_GB2312" w:eastAsia="仿宋_GB2312"/>
                      <w:sz w:val="21"/>
                      <w:color w:val="000000"/>
                    </w:rPr>
                    <w:t>方式并结合人工辅助识别包</w:t>
                  </w:r>
                  <w:r>
                    <w:rPr>
                      <w:rFonts w:ascii="仿宋_GB2312" w:hAnsi="仿宋_GB2312" w:cs="仿宋_GB2312" w:eastAsia="仿宋_GB2312"/>
                      <w:sz w:val="21"/>
                      <w:color w:val="000000"/>
                    </w:rPr>
                    <w:t>括结构面发育程度（包括定性描述、结构面组数、平均间距）、岩体体积节理数、岩体结构类型、岩体完整性指数、岩体完整程度定性判断</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14.18</w:t>
                  </w:r>
                  <w:r>
                    <w:rPr>
                      <w:rFonts w:ascii="仿宋_GB2312" w:hAnsi="仿宋_GB2312" w:cs="仿宋_GB2312" w:eastAsia="仿宋_GB2312"/>
                      <w:sz w:val="21"/>
                      <w:color w:val="000000"/>
                    </w:rPr>
                    <w:t>具有围岩智能分级功能：包括围岩基本质量指标计算、基本分级判定、围岩分级修正（地下水影响修正、主要结构面产状影响修正、地应力影响修正）</w:t>
                  </w:r>
                </w:p>
                <w:p>
                  <w:pPr>
                    <w:pStyle w:val="null3"/>
                    <w:jc w:val="left"/>
                  </w:pPr>
                  <w:r>
                    <w:rPr>
                      <w:rFonts w:ascii="仿宋_GB2312" w:hAnsi="仿宋_GB2312" w:cs="仿宋_GB2312" w:eastAsia="仿宋_GB2312"/>
                      <w:sz w:val="21"/>
                      <w:color w:val="000000"/>
                    </w:rPr>
                    <w:t>14.19</w:t>
                  </w:r>
                  <w:r>
                    <w:rPr>
                      <w:rFonts w:ascii="仿宋_GB2312" w:hAnsi="仿宋_GB2312" w:cs="仿宋_GB2312" w:eastAsia="仿宋_GB2312"/>
                      <w:sz w:val="21"/>
                      <w:color w:val="000000"/>
                    </w:rPr>
                    <w:t>具有形成隧道掌子面地质报告功能：报告内容至少涵盖掌子面三维地质结构、长大结构面识别结果、岩体完整性分析数据以及围岩分级情况等信息。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14.20采集开挖完成后的一组数据，需支持在隧道内离线合成掌子面三维模型，进行节理素描，围岩分析，同时可以分析超欠挖情况并生成断面报告，且支持上传激光地质云平台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15</w:t>
                  </w:r>
                  <w:r>
                    <w:rPr>
                      <w:rFonts w:ascii="仿宋_GB2312" w:hAnsi="仿宋_GB2312" w:cs="仿宋_GB2312" w:eastAsia="仿宋_GB2312"/>
                      <w:sz w:val="21"/>
                      <w:b/>
                      <w:color w:val="000000"/>
                    </w:rPr>
                    <w:t>云平台</w:t>
                  </w:r>
                  <w:r>
                    <w:rPr>
                      <w:rFonts w:ascii="仿宋_GB2312" w:hAnsi="仿宋_GB2312" w:cs="仿宋_GB2312" w:eastAsia="仿宋_GB2312"/>
                      <w:sz w:val="21"/>
                      <w:b/>
                      <w:color w:val="000000"/>
                    </w:rPr>
                    <w:t>功能要求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1云平台需支持开挖、初支、二衬的三维模型浏览；</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15.2</w:t>
                  </w:r>
                  <w:r>
                    <w:rPr>
                      <w:rFonts w:ascii="仿宋_GB2312" w:hAnsi="仿宋_GB2312" w:cs="仿宋_GB2312" w:eastAsia="仿宋_GB2312"/>
                      <w:sz w:val="21"/>
                      <w:color w:val="000000"/>
                    </w:rPr>
                    <w:t>云平台需支持对掌子面三维模型进行浏览；</w:t>
                  </w:r>
                </w:p>
                <w:p>
                  <w:pPr>
                    <w:pStyle w:val="null3"/>
                    <w:jc w:val="left"/>
                  </w:pPr>
                  <w:r>
                    <w:rPr>
                      <w:rFonts w:ascii="仿宋_GB2312" w:hAnsi="仿宋_GB2312" w:cs="仿宋_GB2312" w:eastAsia="仿宋_GB2312"/>
                      <w:sz w:val="21"/>
                      <w:color w:val="000000"/>
                    </w:rPr>
                    <w:t>15</w:t>
                  </w:r>
                  <w:r>
                    <w:rPr>
                      <w:rFonts w:ascii="仿宋_GB2312" w:hAnsi="仿宋_GB2312" w:cs="仿宋_GB2312" w:eastAsia="仿宋_GB2312"/>
                      <w:sz w:val="21"/>
                      <w:color w:val="000000"/>
                    </w:rPr>
                    <w:t>.3</w:t>
                  </w:r>
                  <w:r>
                    <w:rPr>
                      <w:rFonts w:ascii="仿宋_GB2312" w:hAnsi="仿宋_GB2312" w:cs="仿宋_GB2312" w:eastAsia="仿宋_GB2312"/>
                      <w:sz w:val="21"/>
                      <w:color w:val="000000"/>
                    </w:rPr>
                    <w:t>云平台支持工程线路平竖曲线录入，需支持交点法和线元法，断面录入需支持</w:t>
                  </w:r>
                  <w:r>
                    <w:rPr>
                      <w:rFonts w:ascii="仿宋_GB2312" w:hAnsi="仿宋_GB2312" w:cs="仿宋_GB2312" w:eastAsia="仿宋_GB2312"/>
                      <w:sz w:val="21"/>
                      <w:color w:val="000000"/>
                    </w:rPr>
                    <w:t>CAD录入</w:t>
                  </w:r>
                </w:p>
                <w:p>
                  <w:pPr>
                    <w:pStyle w:val="null3"/>
                    <w:jc w:val="left"/>
                  </w:pPr>
                  <w:r>
                    <w:rPr>
                      <w:rFonts w:ascii="仿宋_GB2312" w:hAnsi="仿宋_GB2312" w:cs="仿宋_GB2312" w:eastAsia="仿宋_GB2312"/>
                      <w:sz w:val="21"/>
                      <w:color w:val="000000"/>
                    </w:rPr>
                    <w:t>15.4</w:t>
                  </w:r>
                  <w:r>
                    <w:rPr>
                      <w:rFonts w:ascii="仿宋_GB2312" w:hAnsi="仿宋_GB2312" w:cs="仿宋_GB2312" w:eastAsia="仿宋_GB2312"/>
                      <w:sz w:val="21"/>
                      <w:color w:val="000000"/>
                    </w:rPr>
                    <w:t>激光地质云平台账号</w:t>
                  </w:r>
                  <w:r>
                    <w:rPr>
                      <w:rFonts w:ascii="仿宋_GB2312" w:hAnsi="仿宋_GB2312" w:cs="仿宋_GB2312" w:eastAsia="仿宋_GB2312"/>
                      <w:sz w:val="21"/>
                      <w:color w:val="000000"/>
                    </w:rPr>
                    <w:t>1套，最高权限，永久期限。</w:t>
                  </w:r>
                  <w:r>
                    <w:rPr>
                      <w:rFonts w:ascii="仿宋_GB2312" w:hAnsi="仿宋_GB2312" w:cs="仿宋_GB2312" w:eastAsia="仿宋_GB2312"/>
                      <w:sz w:val="21"/>
                      <w:color w:val="000000"/>
                    </w:rPr>
                    <w:t>(提供承诺</w:t>
                  </w:r>
                  <w:r>
                    <w:rPr>
                      <w:rFonts w:ascii="仿宋_GB2312" w:hAnsi="仿宋_GB2312" w:cs="仿宋_GB2312" w:eastAsia="仿宋_GB2312"/>
                      <w:sz w:val="21"/>
                      <w:color w:val="000000"/>
                    </w:rPr>
                    <w:t>函</w:t>
                  </w:r>
                  <w:r>
                    <w:rPr>
                      <w:rFonts w:ascii="仿宋_GB2312" w:hAnsi="仿宋_GB2312" w:cs="仿宋_GB2312" w:eastAsia="仿宋_GB2312"/>
                      <w:sz w:val="21"/>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合同签订后90日历日内交货安装验收完毕。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陕西省渭南市高新技术产业开发区科教园区胜利大街西段89号（陕西铁路工程职业技术学院高新校区）。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货到现场并与供货清单核对无误后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最终验收合格后，乙方持《终验合格单》原件并向甲方提供全额增值税专用发票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1、产品到货后，乙方负责安装调试，达到正常运行条件后书面通知甲方验收。 2、安装完成后应提供详细的安装报告，并详细记录各种指示的实测数据。 3、提供完整的操作手册和安装、调试、维修手册；提供制造厂家的检验测试报告或产品出厂检测报告。 4、甲方根据合同要求对产品进行验收、确认产品的产地、规格、型号和数量。验收依据为本合同文本、招标文件和国内相应的标准、规范。 5、验收合格后，填写产品验收单，并向甲方提交产品所包含的所有资料，以便甲方日后管理和维护。 6、验收由甲方负责组织或者邀请有关专家、质检机构、采购代理机构共同进行验收,验收须以合同、招标文件、澄清、及国家相应的标准、规范等为依据。7、在设备安装调试期间，供应商需派遣专业的安装工程师负责主导工作。安装工程师需具备丰富的同类设备安装经验，严格按照设备安装手册及相关标准规范进行操作。同时，采购人需安排熟悉项目需求与现场情况的工作人员积极配合安装工程师，协助完成设备的搬运、就位等辅助工作。在安装完成后，双方共同依据设备验收标准对设备进行全面验收。验收内容包括设备的外观完整性、功能实现情况、运行稳定性等方面。只有在双方共同确认设备各项指标均符合要求后，方可签署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包装需符合《包装储运图示标志》(GB/T 191-2008) 等国家规范，采用防潮、防锈、防震材料，易碎及精密货物加装缓冲层或木质框架。每件包装标注名称、规格、数量、重量、收发货信息及 “向上”“防潮” 等警示标识；运输须遵守《道路货物运输及站场管理规定》等法规，投标人承担全程费用与风险，按约定时限送达指定地点，并投保足额运输险，受益人为招标人；到货后招标人查验包装，因包装或运输不当导致货损、短缺的，投标人须 48 小时内更换补充，承担全部费用。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(1)保修期设定：设备保修期为24个月，起始时间以设备调试验收合格之日为准。此期间内，卖方对设备质量承担相应责任，全力保障设备稳定运行。 (2)定期回访安排：供应商将定期派遣专业维修技术工程师对设备进行回访。通过回访，深入了解设备运行状态，及时发现潜在问题。 (3)维护保养指导：在回访过程中，工程师需详细指导买方工作人员开展设备维护保养工作。具体内容涵盖设备清洁，保持设备外观及内部关键部位的整洁，避免因灰尘等杂质影响设备性能；关键部件检查，对设备核心部件进行细致检测，查看是否存在磨损、松动等异常情况；性能测试，运用专业工具及方法，对设备性能指标进行测试，确保设备运行在正常参数范围。 (4)使用事项交流：工程师需与买方充分交流设备使用过程中的各类事宜。例如提供操作优化建议，帮助买方人员提升操作熟练度，提高设备运行效率；分享常见问题预防措施，让买方提前知晓可能出现的问题及应对方法，降低设备故障率，以此全方位保障设备稳定运行，有效延长设备使用寿命。</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总价包括：产品的供应费及所发生的运输费、杂费（含保险）、商检费、搬运费、安装调试费、培训费等，包括从产品供应地点到交货地点所包含的一切费用。合同总价不可变更，不受市场价变化的影响，不受实际数量变化的影响。 2、技术保障： (1)服务团队配备：为确保技术服务的高效性与及时性，供应商将设立专门的技术服务团队。团队成员应包括经验丰富的高级维修工程师不少于 1 名，以及专业的技术支持人员不少于1名，能够快速响应并处理各类技术问题。 (2)快速响应与现场服务时效：一旦接到客户关于设备故障或技术咨询的正式通知，需要技术服务团队将在2小时内做出实质性响应，通过电话、邮件或即时通讯工具与客户取得联系，初步了解问题情况。在紧急情况下，将在 6小时内安排相关技术人员出发，并确保在 24 小时内抵达设备现场。到达现场后，技术人员应立即开展故障排查与维修工作，争取在最短时间内恢复设备正常运行。 (3)技术培训服务：为使采购人的相关工作人员能够熟练掌握设备的操作与维护技能，供应商需提供全面且系统的技术培训服务。培训分为理论培训与实操培训两个部分。理论培训将通过现场集中授课的方式进行，由资深技术专家详细讲解设备的工作原理、系统架构、操作流程、常见故障及处理方法等知识。实操培训则在设备现场进行，由安装工程师手把手指导采购人工作人员进行设备的实际操作、日常维护保养、简单故障排除等实践操作。 （4）技术资料提供：供应商需在设备交付时，同时向采购人提供完整的设备电子版技术资料。为便于采购人在设备使用、维护过程中随时查阅参考，所有技术资料都采用清晰易读的格式，并确保内容准确、完整、详细。此外，若设备后续有软件升级或技术改进，供应商将及时更新后的技术资料提供给采购人。 3、售后服务： （1）软件终身更新：设备配套软件将提供终生持续更新服务，通过远程推送或现场升级等方式，不断优化系统稳定性、运算精度及功能模块，确保设备始终适应技术发展与实际应用需求。 (2)硬件保修保障：自设备验收合格之日起，提供24个月免费保修服务，期间因制造缺陷或质量问题导致的硬件故障，将免费更换零部件并负责维修调试，保障设备正常运转。 （3）交付同步培训：设备交付当日即开展专项培训，内容涵盖软硬件操作流程、日常维护要点及基础故障排查等，确保操作人员快速掌握使用技能，提升设备利用率。 （4）专人全程跟进：配备专属技术顾问，对设备使用过程中的操作疑问、功能咨询等提供 7×12 小时响应服务，通过远程指导或现场支持等方式，及时解决各类问题，保障生产连续性。 （5）项目执行过程中完成校企联合开发设备操作及数据处理相关培训讲义编制并提交。 4、需执行的国家相关标准、行业标准、地方标准或者其他标准、规范： （1）符合测量与三维激光扫描类相关规范要求：CH/T 3007.2-2019《城市三维建模规范 第2部分：激光扫描》、GB/T 7930-2021《1:500 1:1000 1:2000地形图航空摄影测量内业规范》（点云精度评定时引用） （2）符合隧道施工质量与验收类相关标准要求：JTG F60-2009《公路隧道施工技术规范》、TB 10092-2017《铁路桥涵混凝土结构设计规范》 （3）符合数据安全、信息化与共享类相关标准要求：GB/T 37918-2019《地理信息数据安全规范》、GB/T 35273-2020《信息安全技术个人信息安全规范》、CH/T 9015-2011《三维地理信息模型数据产品规范》 （4）符合激光安全与电磁兼容类相关要求GB 7247.1-2012《激光产品的安全 第1部分：设备的分类、要求》 （5）符合环境与可靠性类相关要求：GB/T 2423.1-2008《电工电子产品环境试验 第2部分：试验方法 试验A：低温》 （6）符合计量与精度评定类相关要求：JJF 1116-2015《激光测距仪校准规范》、JJF 1404-2013《地面激光扫描仪校准规范》、JJG 703-2003《全站仪检定规程》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2、具有良好的商业信誉和健全的财务会计制度（提供2024年度财务审计报告或开标前12个月内银行出具的资信证明或财政部门认可的政府采购专业担保机构出具的投标担保函）； 3、具有履行合同所必需的设备和专业技术能力的书面声明（格式详见附件）； 4、具有依法缴纳税收和社会保障资金的良好记录（提供开标前 12 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非联合体投标承诺书.docx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政府采购承诺书.docx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法定代表人直接参加的，须出示身份证；法定代表人授权他人参加的，须提供法定代表人授权委托书及被授权人身份证。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本项目不接受联合体投标，不得分包、转包。</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交货安装期</w:t>
            </w:r>
          </w:p>
        </w:tc>
        <w:tc>
          <w:tcPr>
            <w:tcW w:type="dxa" w:w="3322"/>
          </w:tcPr>
          <w:p>
            <w:pPr>
              <w:pStyle w:val="null3"/>
            </w:pPr>
            <w:r>
              <w:rPr>
                <w:rFonts w:ascii="仿宋_GB2312" w:hAnsi="仿宋_GB2312" w:cs="仿宋_GB2312" w:eastAsia="仿宋_GB2312"/>
              </w:rPr>
              <w:t>交货安装期是否按招标文件要求的各项节点响应。</w:t>
            </w:r>
          </w:p>
        </w:tc>
        <w:tc>
          <w:tcPr>
            <w:tcW w:type="dxa" w:w="1661"/>
          </w:tcPr>
          <w:p>
            <w:pPr>
              <w:pStyle w:val="null3"/>
            </w:pPr>
            <w:r>
              <w:rPr>
                <w:rFonts w:ascii="仿宋_GB2312" w:hAnsi="仿宋_GB2312" w:cs="仿宋_GB2312" w:eastAsia="仿宋_GB2312"/>
              </w:rPr>
              <w:t>开标一览表及分项报价表.docx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投标文件有效期是否响应招标文件的要求。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质保期是否按照招标文件的相关要求响应。</w:t>
            </w:r>
          </w:p>
        </w:tc>
        <w:tc>
          <w:tcPr>
            <w:tcW w:type="dxa" w:w="1661"/>
          </w:tcPr>
          <w:p>
            <w:pPr>
              <w:pStyle w:val="null3"/>
            </w:pPr>
            <w:r>
              <w:rPr>
                <w:rFonts w:ascii="仿宋_GB2312" w:hAnsi="仿宋_GB2312" w:cs="仿宋_GB2312" w:eastAsia="仿宋_GB2312"/>
              </w:rPr>
              <w:t>开标一览表及分项报价表.docx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付款方式是否响应招标文件的要求。</w:t>
            </w:r>
          </w:p>
        </w:tc>
        <w:tc>
          <w:tcPr>
            <w:tcW w:type="dxa" w:w="1661"/>
          </w:tcPr>
          <w:p>
            <w:pPr>
              <w:pStyle w:val="null3"/>
            </w:pPr>
            <w:r>
              <w:rPr>
                <w:rFonts w:ascii="仿宋_GB2312" w:hAnsi="仿宋_GB2312" w:cs="仿宋_GB2312" w:eastAsia="仿宋_GB2312"/>
              </w:rPr>
              <w:t>开标一览表及分项报价表.docx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投标保证金是否按要求缴纳。</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投标报价是否超过采购预算或最高限价。</w:t>
            </w:r>
          </w:p>
        </w:tc>
        <w:tc>
          <w:tcPr>
            <w:tcW w:type="dxa" w:w="1661"/>
          </w:tcPr>
          <w:p>
            <w:pPr>
              <w:pStyle w:val="null3"/>
            </w:pPr>
            <w:r>
              <w:rPr>
                <w:rFonts w:ascii="仿宋_GB2312" w:hAnsi="仿宋_GB2312" w:cs="仿宋_GB2312" w:eastAsia="仿宋_GB2312"/>
              </w:rPr>
              <w:t>开标一览表及分项报价表.docx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核心产品品牌应满足3个品牌，不满足视为有效投标人不足3家。</w:t>
            </w:r>
          </w:p>
        </w:tc>
        <w:tc>
          <w:tcPr>
            <w:tcW w:type="dxa" w:w="1661"/>
          </w:tcPr>
          <w:p>
            <w:pPr>
              <w:pStyle w:val="null3"/>
            </w:pPr>
            <w:r>
              <w:rPr>
                <w:rFonts w:ascii="仿宋_GB2312" w:hAnsi="仿宋_GB2312" w:cs="仿宋_GB2312" w:eastAsia="仿宋_GB2312"/>
              </w:rPr>
              <w:t>开标一览表 开标一览表及分项报价表.docx 标的清单</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投标内容不得出现缺漏项或数量与要求不符。</w:t>
            </w:r>
          </w:p>
        </w:tc>
        <w:tc>
          <w:tcPr>
            <w:tcW w:type="dxa" w:w="1661"/>
          </w:tcPr>
          <w:p>
            <w:pPr>
              <w:pStyle w:val="null3"/>
            </w:pPr>
            <w:r>
              <w:rPr>
                <w:rFonts w:ascii="仿宋_GB2312" w:hAnsi="仿宋_GB2312" w:cs="仿宋_GB2312" w:eastAsia="仿宋_GB2312"/>
              </w:rPr>
              <w:t>规格技术参数偏离表.docx 货物简要说明一览表.docx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技术方案中各项设备的技术参数响应清晰明确，符合使用要求，技术指标和性能完全响应招标文件要求，满足使用需求，计25分。结合规格、技术参数偏离表的响应证明材料，按招标文件内配置最低要求，带“▲”号指标项每出现1项负偏离扣2分，非“▲”号指标项每出现1项负偏离，扣1分，扣完本项分值为止。供应商须按招标文件要求提供带“▲”号指标项的证明材料（不限于产品彩页或检测报告或带网址链接的官网截图或加盖厂家公章的技术参数说明或加盖厂家公章的功能截图），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货物简要说明一览表.docx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1、投标产品货源渠道正常(不限于销售协议、代理协议、原厂授权等)，证明材料提供齐全得2分；提供部分证明材料得1分；未提供得0分。 2、技术工艺先进，性能稳定，方便操作，安全可靠，符合国内相关标准或行业标准，根据其整体配置合理性、一致性、兼容性，产品品牌、型号、产地。选型方案先进可靠，质量保证承诺详尽得2分；选型方案全部满足采购需求，有质量保证承诺得1分；未提供得0分。 3、备品配件供应有保障，具有可行的质量保证承诺，且保证使用单位能熟练操作维护和正常使用。备品配件清单详细、数量充足得2分；备品配件清单简单、数量较少得1分；未提供得0分。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供应商针对本项目时间合理性，提供具体可行的实施方案：①供货组织安排；②人员配备、财力调配；③运输、派送措施；④设备到货后验收；⑤实施进度；⑥设备安装调试等。 以上6项内容每一项内容全面详细、阐述条理清晰得1.5分，满分9分，每有一项存在一处缺陷，扣1分，扣完为止。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①制定培训课程计划表；②培训的地点和时间（采用进校集中培训方式，培训次数不少于5轮次）；③提供详细培训内容；④培训的人员安排。以上4项内容每一项内容全面详细、阐述条理清晰得1.5分，满分6分，每有一项存在一处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提供详细的售后服务方案及售后服务承诺等，①具有相应的物力、人力配备；②运维期间服务人员的工作内容及服务方式，③故障响应时间及解决办法、补救措施；④售后响应承诺。 以上4项内容每一项内容全面详细、阐述条理清晰得1.5分，满分6分，每有一项存在一处缺陷，扣1分，扣完为止。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校园服务</w:t>
            </w:r>
          </w:p>
        </w:tc>
        <w:tc>
          <w:tcPr>
            <w:tcW w:type="dxa" w:w="2492"/>
          </w:tcPr>
          <w:p>
            <w:pPr>
              <w:pStyle w:val="null3"/>
            </w:pPr>
            <w:r>
              <w:rPr>
                <w:rFonts w:ascii="仿宋_GB2312" w:hAnsi="仿宋_GB2312" w:cs="仿宋_GB2312" w:eastAsia="仿宋_GB2312"/>
              </w:rPr>
              <w:t>供应商应遵循学校校园文化育人体系，配合学校营造良好的校园育人环境，围绕环境育人、文化育人、活动育人、服务育人等各个方面，提供相应的承诺及方案。 1.方案清晰明确，承诺完整得2分； 2.方案存在部分偏差，承诺基本完整得1分； 3.未提供或方案过于简略无法满足上述要求的得0分。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供应商投标产品中每有一项为节能产品或环境标志产品经国家认证的得0.5分，最高得1分。（以经国家确定的认证机构出具的、处于有效期内的节能产品、环境标志产品认证证书为准）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提供2022年1月1日至今供应商同类项目业绩（以合同签订时间为准），提供合同复印件（扫描件）加盖供应商公章，每份有效业绩计1分，最高得5分。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满足招标文件要求且投标价格最低的投标报价为评标基准价，其价格分为满分40分。其他供应商的价格分统一按照下列公式计算：投标报价得分=（评标基准价/投标报价）×40 符合招标文件规定的小微企业、监狱企业、残疾人福利性单位优惠的供应商，价格给予10%的扣除，用扣除后的价格参与评审。</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详见附件：开标一览表及分项报价表.docx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详见附件：拟配备团队情况.docx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详见附件：政府采购承诺书.docx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详见附件：附件：合同模板（货物类）.docx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