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版本号：DQB-2025090-CS20251120001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陕西省科技业务综合信息系统升级改造项目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DQB-2025090-CS</w:t>
      </w:r>
      <w:r>
        <w:br/>
      </w:r>
      <w:r>
        <w:br/>
      </w:r>
      <w:r>
        <w:br/>
      </w:r>
    </w:p>
    <w:p>
      <w:pPr>
        <w:pStyle w:val="null3"/>
        <w:jc w:val="center"/>
        <w:outlineLvl w:val="2"/>
      </w:pPr>
      <w:r>
        <w:rPr>
          <w:rFonts w:ascii="仿宋_GB2312" w:hAnsi="仿宋_GB2312" w:cs="仿宋_GB2312" w:eastAsia="仿宋_GB2312"/>
          <w:sz w:val="28"/>
          <w:b/>
        </w:rPr>
        <w:t>陕西省科技资源统筹中心</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陕西省科技资源统筹中心</w:t>
      </w:r>
      <w:r>
        <w:rPr>
          <w:rFonts w:ascii="仿宋_GB2312" w:hAnsi="仿宋_GB2312" w:cs="仿宋_GB2312" w:eastAsia="仿宋_GB2312"/>
        </w:rPr>
        <w:t>委托，拟对</w:t>
      </w:r>
      <w:r>
        <w:rPr>
          <w:rFonts w:ascii="仿宋_GB2312" w:hAnsi="仿宋_GB2312" w:cs="仿宋_GB2312" w:eastAsia="仿宋_GB2312"/>
        </w:rPr>
        <w:t>陕西省科技业务综合信息系统升级改造项目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DQB-2025090-CS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陕西省科技业务综合信息系统升级改造项目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国家科技体制改革精神，适应省级科技计划管理政策的持续调整与优化，应对新形势下科技项目管理提出的新要求与新挑战，现启动“陕西省科技业务综合信息系统升级改造项目”。本项目旨在通过对现有系统进行深度功能拓展与全面性能优化，显著提升系统的适应性、先进性与智能化水平，为陕西省科技事业的高质量发展提供更加坚实、高效的数字化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采购包1（陕西省科技业务综合信息系统升级改造）：属于专门面向小微企业采购。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陕西省科技资源统筹中心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陕西省西安市雁塔区丈八五路10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陕西省科技资源统筹中心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029-88857938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李浩、李寅辰、姜仕路、李维婧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银行账号：52880188000143815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陕西省科技资源统筹中心</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陕西省科技资源统筹中心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陕西省科技资源统筹中心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中标人必须对其所提供的全部系统进行安装，其中包括：安装、测试和联网调试，平台开发完成并运行1个月后验收。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国家科技体制改革精神，适应省级科技计划管理政策的持续调整与优化，应对新形势下科技项目管理提出的新要求与新挑战，现启动“陕西省科技业务综合信息系统升级改造项目”。本项目旨在通过对现有系统进行深度功能拓展与全面性能优化，显著提升系统的适应性、先进性与智能化水平，为陕西省科技事业的高质量发展提供更加坚实、高效的数字化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2,830,000.00</w:t>
      </w:r>
    </w:p>
    <w:p>
      <w:pPr>
        <w:pStyle w:val="null3"/>
      </w:pPr>
      <w:r>
        <w:rPr>
          <w:rFonts w:ascii="仿宋_GB2312" w:hAnsi="仿宋_GB2312" w:cs="仿宋_GB2312" w:eastAsia="仿宋_GB2312"/>
        </w:rPr>
        <w:t>采购包最高限价（元）: 2,830,000.00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陕西省科技业务综合信息系统升级改造项目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标的名称：陕西省科技业务综合信息系统升级改造项目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一、项目背景</w:t>
            </w:r>
          </w:p>
          <w:p>
            <w:pPr>
              <w:pStyle w:val="null3"/>
              <w:ind w:firstLine="420"/>
              <w:jc w:val="both"/>
            </w:pPr>
            <w:r>
              <w:rPr>
                <w:rFonts w:ascii="仿宋_GB2312" w:hAnsi="仿宋_GB2312" w:cs="仿宋_GB2312" w:eastAsia="仿宋_GB2312"/>
                <w:sz w:val="21"/>
              </w:rPr>
              <w:t>陕西科技业务信息系统自</w:t>
            </w:r>
            <w:r>
              <w:rPr>
                <w:rFonts w:ascii="仿宋_GB2312" w:hAnsi="仿宋_GB2312" w:cs="仿宋_GB2312" w:eastAsia="仿宋_GB2312"/>
                <w:sz w:val="21"/>
              </w:rPr>
              <w:t>2014年正式启动运行以来，已累计吸纳注册超过4万家科研院所、企业、高校等注册单位，涵盖了从基础研究到应用开发的各类创新主体；注册的项目负责人和参与人员突破31万人，形成了一支活跃在科技一线的数字化管理参与者队伍；同时，系统注册和汇总了13万余名评审专家资源，建立起覆盖多个学科领域、不同技术方向的专家库，为项目评审的专业性和公正性提供了坚实保障。在服务效能方面，仅过去一年，系统就提供了5.2万余次电话技术支持服务，解决了用户在系统操作、材料填报、流程查询等方面的疑问；QQ在线咨询服务累计超过6.5万次，通过实时互动的方式为用户提供即时帮助，确保业务办理不受阻碍。业务数据的积累同样令人瞩目，系统已上线的项目类别接近182项，涵盖了重点研发计划、科技攻关、成果转化、基础研究等多个领域，满足了不同类型科研项目的管理需求；通过平台提交的项目申请书总量超过19万份，其中8万余项通过层层筛选最终获得立项，这些项目在推动产业升级、攻克关键技术、培育创新成果等方面发挥了重要作用。此外，系统还对超过1万项重大项目实施了精细化的中期管理，及时跟踪项目进展、协调解决问题，确保科研任务按计划推进；同时，对所有立项项目实现了全流程的验收管理，严格把控成果质量，为科技资源的高效配置提供了有力支撑。</w:t>
            </w:r>
          </w:p>
          <w:p>
            <w:pPr>
              <w:pStyle w:val="null3"/>
              <w:ind w:firstLine="420"/>
              <w:jc w:val="both"/>
            </w:pPr>
            <w:r>
              <w:rPr>
                <w:rFonts w:ascii="仿宋_GB2312" w:hAnsi="仿宋_GB2312" w:cs="仿宋_GB2312" w:eastAsia="仿宋_GB2312"/>
                <w:sz w:val="21"/>
              </w:rPr>
              <w:t>陕西科技业务信息系统已经全面实现了科技计划项目的全周期信息化管理，涵盖了从单位注册、项目申报、部门初审、项目评审、立项审批、合同签订、拨款管理、项目变更、科技报告、中期检查、财务验收、技术验收到高企认定等多个关键环节。系统纳入了所有内部管理部门和</w:t>
            </w:r>
            <w:r>
              <w:rPr>
                <w:rFonts w:ascii="仿宋_GB2312" w:hAnsi="仿宋_GB2312" w:cs="仿宋_GB2312" w:eastAsia="仿宋_GB2312"/>
                <w:sz w:val="21"/>
              </w:rPr>
              <w:t>122个科技主管部门，共同构建起了一套高效稳定的科研管理平台。平台通过系统化、网络化、全流程、一站式的统一建设，显著提升了陕西科技业务管理的行政效能，也有效增强了公共服务能力，为陕西省的科技事业发展提供了有力支撑。</w:t>
            </w:r>
          </w:p>
          <w:p>
            <w:pPr>
              <w:pStyle w:val="null3"/>
              <w:ind w:firstLine="420"/>
              <w:jc w:val="both"/>
            </w:pPr>
            <w:r>
              <w:rPr>
                <w:rFonts w:ascii="仿宋_GB2312" w:hAnsi="仿宋_GB2312" w:cs="仿宋_GB2312" w:eastAsia="仿宋_GB2312"/>
                <w:sz w:val="21"/>
              </w:rPr>
              <w:t>为此，陕西省科技业务综合管理系统需进行全面而细致的优化改造，以适应相关政策与管理要求的动态变化，确保系统始终保持与时俱进，为陕西科技事业的高质量发展提供坚实支撑。</w:t>
            </w:r>
          </w:p>
          <w:p>
            <w:pPr>
              <w:pStyle w:val="null3"/>
              <w:ind w:firstLine="422"/>
              <w:jc w:val="both"/>
            </w:pPr>
            <w:r>
              <w:rPr>
                <w:rFonts w:ascii="仿宋_GB2312" w:hAnsi="仿宋_GB2312" w:cs="仿宋_GB2312" w:eastAsia="仿宋_GB2312"/>
                <w:sz w:val="21"/>
                <w:b/>
              </w:rPr>
              <w:t>二、建设内容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为适应省委、省政府机构改革的要求，项目建设必须紧密贴合省科技项目管理的实际工作，通过对陕西省科技业务综合服务信息系统适应性改造，充分利用信息化手段，以互联网为载体，采取</w:t>
            </w:r>
            <w:r>
              <w:rPr>
                <w:rFonts w:ascii="仿宋_GB2312" w:hAnsi="仿宋_GB2312" w:cs="仿宋_GB2312" w:eastAsia="仿宋_GB2312"/>
                <w:sz w:val="21"/>
              </w:rPr>
              <w:t>“统一受理、分类管理、集中评审、智能匹配、实时跟踪、全程监控、风险预警、数据可视化”的管理模式。</w:t>
            </w:r>
          </w:p>
          <w:p>
            <w:pPr>
              <w:pStyle w:val="null3"/>
              <w:jc w:val="both"/>
            </w:pPr>
            <w:r>
              <w:rPr>
                <w:rFonts w:ascii="仿宋_GB2312" w:hAnsi="仿宋_GB2312" w:cs="仿宋_GB2312" w:eastAsia="仿宋_GB2312"/>
                <w:sz w:val="21"/>
                <w:b/>
              </w:rPr>
              <w:t xml:space="preserve">  三、具体建设需求</w:t>
            </w:r>
          </w:p>
          <w:p>
            <w:pPr>
              <w:pStyle w:val="null3"/>
              <w:ind w:firstLine="498"/>
              <w:jc w:val="both"/>
            </w:pPr>
            <w:r>
              <w:rPr>
                <w:rFonts w:ascii="仿宋_GB2312" w:hAnsi="仿宋_GB2312" w:cs="仿宋_GB2312" w:eastAsia="仿宋_GB2312"/>
                <w:sz w:val="21"/>
                <w:b/>
              </w:rPr>
              <w:t>1.建设科研项目查重管理子系统</w:t>
            </w:r>
          </w:p>
          <w:p>
            <w:pPr>
              <w:pStyle w:val="null3"/>
              <w:ind w:firstLine="495"/>
              <w:jc w:val="both"/>
            </w:pPr>
            <w:r>
              <w:rPr>
                <w:rFonts w:ascii="仿宋_GB2312" w:hAnsi="仿宋_GB2312" w:cs="仿宋_GB2312" w:eastAsia="仿宋_GB2312"/>
                <w:sz w:val="21"/>
              </w:rPr>
              <w:t>本子系统旨在通过引入新一代信息技术与智能算法，构建精准、全面的科研项目查重管理体系，有效识别与遏制重复申报与研究行为，提升科研资源配置效率与创新积极性。</w:t>
            </w:r>
          </w:p>
          <w:p>
            <w:pPr>
              <w:pStyle w:val="null3"/>
              <w:ind w:firstLine="495"/>
              <w:jc w:val="both"/>
            </w:pPr>
            <w:r>
              <w:rPr>
                <w:rFonts w:ascii="仿宋_GB2312" w:hAnsi="仿宋_GB2312" w:cs="仿宋_GB2312" w:eastAsia="仿宋_GB2312"/>
                <w:sz w:val="21"/>
              </w:rPr>
              <w:t>1.1支持多格式非结构化文档（如PDF、JPG、PNG等）的解析与内容提取。</w:t>
            </w:r>
          </w:p>
          <w:p>
            <w:pPr>
              <w:pStyle w:val="null3"/>
              <w:ind w:firstLine="495"/>
              <w:jc w:val="both"/>
            </w:pPr>
            <w:r>
              <w:rPr>
                <w:rFonts w:ascii="仿宋_GB2312" w:hAnsi="仿宋_GB2312" w:cs="仿宋_GB2312" w:eastAsia="仿宋_GB2312"/>
                <w:sz w:val="21"/>
              </w:rPr>
              <w:t>1.2具备对项目研究内容、技术路线、创新点等核心要素的深度相似性分析能力。</w:t>
            </w:r>
          </w:p>
          <w:p>
            <w:pPr>
              <w:pStyle w:val="null3"/>
              <w:ind w:firstLine="495"/>
              <w:jc w:val="both"/>
            </w:pPr>
            <w:r>
              <w:rPr>
                <w:rFonts w:ascii="仿宋_GB2312" w:hAnsi="仿宋_GB2312" w:cs="仿宋_GB2312" w:eastAsia="仿宋_GB2312"/>
                <w:sz w:val="21"/>
              </w:rPr>
              <w:t>1.3提供结构化数据（项目名称、关键词等）与非结构化内容的综合查重比对。</w:t>
            </w:r>
          </w:p>
          <w:p>
            <w:pPr>
              <w:pStyle w:val="null3"/>
              <w:ind w:firstLine="498"/>
              <w:jc w:val="both"/>
            </w:pPr>
            <w:r>
              <w:rPr>
                <w:rFonts w:ascii="仿宋_GB2312" w:hAnsi="仿宋_GB2312" w:cs="仿宋_GB2312" w:eastAsia="仿宋_GB2312"/>
                <w:sz w:val="21"/>
                <w:b/>
              </w:rPr>
              <w:t>2.建设项目主持和参与查询子模块</w:t>
            </w:r>
          </w:p>
          <w:p>
            <w:pPr>
              <w:pStyle w:val="null3"/>
              <w:ind w:firstLine="495"/>
              <w:jc w:val="both"/>
            </w:pPr>
            <w:r>
              <w:rPr>
                <w:rFonts w:ascii="仿宋_GB2312" w:hAnsi="仿宋_GB2312" w:cs="仿宋_GB2312" w:eastAsia="仿宋_GB2312"/>
                <w:sz w:val="21"/>
              </w:rPr>
              <w:t>构建科研人员项目参与情况的动态管理与多维度分析体系，减轻科研人员填报负担，提升管理效率，为科研人才评价与团队建设提供数据支撑。</w:t>
            </w:r>
          </w:p>
          <w:p>
            <w:pPr>
              <w:pStyle w:val="null3"/>
              <w:ind w:firstLine="495"/>
              <w:jc w:val="both"/>
            </w:pPr>
            <w:r>
              <w:rPr>
                <w:rFonts w:ascii="仿宋_GB2312" w:hAnsi="仿宋_GB2312" w:cs="仿宋_GB2312" w:eastAsia="仿宋_GB2312"/>
                <w:sz w:val="21"/>
              </w:rPr>
              <w:t>2.1实现科研人员项目主持与参与信息的统一查询与集中管理。</w:t>
            </w:r>
          </w:p>
          <w:p>
            <w:pPr>
              <w:pStyle w:val="null3"/>
              <w:ind w:firstLine="495"/>
              <w:jc w:val="both"/>
            </w:pPr>
            <w:r>
              <w:rPr>
                <w:rFonts w:ascii="仿宋_GB2312" w:hAnsi="仿宋_GB2312" w:cs="仿宋_GB2312" w:eastAsia="仿宋_GB2312"/>
                <w:sz w:val="21"/>
              </w:rPr>
              <w:t>2.2支持对科研人员项目数量、进展等信息的动态跟踪与多维度查询分析。</w:t>
            </w:r>
          </w:p>
          <w:p>
            <w:pPr>
              <w:pStyle w:val="null3"/>
              <w:ind w:firstLine="495"/>
              <w:jc w:val="both"/>
            </w:pPr>
            <w:r>
              <w:rPr>
                <w:rFonts w:ascii="仿宋_GB2312" w:hAnsi="仿宋_GB2312" w:cs="仿宋_GB2312" w:eastAsia="仿宋_GB2312"/>
                <w:sz w:val="21"/>
              </w:rPr>
              <w:t>2.3提供个人科研履历与成果的便捷生成与导出功能。</w:t>
            </w:r>
          </w:p>
          <w:p>
            <w:pPr>
              <w:pStyle w:val="null3"/>
              <w:ind w:firstLine="498"/>
              <w:jc w:val="both"/>
            </w:pPr>
            <w:r>
              <w:rPr>
                <w:rFonts w:ascii="仿宋_GB2312" w:hAnsi="仿宋_GB2312" w:cs="仿宋_GB2312" w:eastAsia="仿宋_GB2312"/>
                <w:sz w:val="21"/>
                <w:b/>
              </w:rPr>
              <w:t>3. 科研业务管理系统接入数字证书、电子印章和认证服务支撑平台</w:t>
            </w:r>
          </w:p>
          <w:p>
            <w:pPr>
              <w:pStyle w:val="null3"/>
              <w:ind w:firstLine="495"/>
              <w:jc w:val="both"/>
            </w:pPr>
            <w:r>
              <w:rPr>
                <w:rFonts w:ascii="仿宋_GB2312" w:hAnsi="仿宋_GB2312" w:cs="仿宋_GB2312" w:eastAsia="仿宋_GB2312"/>
                <w:sz w:val="21"/>
              </w:rPr>
              <w:t>构建统一、安全、可靠的数字证书、电子印章与认证服务支撑平台，为全省科技业务综合服务信息系统提供全流程、高安全级别的数字身份认证与电子签署能力，巩固系统数字化转型的安全基础，提升服务效能与管理规范化水平，推动全流程无纸化办公，提升工作效率，降低行政成本，确保签署安全。</w:t>
            </w:r>
          </w:p>
          <w:p>
            <w:pPr>
              <w:pStyle w:val="null3"/>
              <w:ind w:firstLine="495"/>
              <w:jc w:val="both"/>
            </w:pPr>
            <w:r>
              <w:rPr>
                <w:rFonts w:ascii="仿宋_GB2312" w:hAnsi="仿宋_GB2312" w:cs="仿宋_GB2312" w:eastAsia="仿宋_GB2312"/>
                <w:sz w:val="21"/>
              </w:rPr>
              <w:t>3.1提供基于国家密码算法的数字证书签发、管理及应用服务。</w:t>
            </w:r>
          </w:p>
          <w:p>
            <w:pPr>
              <w:pStyle w:val="null3"/>
              <w:ind w:firstLine="495"/>
              <w:jc w:val="both"/>
            </w:pPr>
            <w:r>
              <w:rPr>
                <w:rFonts w:ascii="仿宋_GB2312" w:hAnsi="仿宋_GB2312" w:cs="仿宋_GB2312" w:eastAsia="仿宋_GB2312"/>
                <w:sz w:val="21"/>
              </w:rPr>
              <w:t>3.2提供合规、合法、可验真的电子印章制作、管理与应用服务。</w:t>
            </w:r>
          </w:p>
          <w:p>
            <w:pPr>
              <w:pStyle w:val="null3"/>
              <w:ind w:firstLine="495"/>
              <w:jc w:val="both"/>
            </w:pPr>
            <w:r>
              <w:rPr>
                <w:rFonts w:ascii="仿宋_GB2312" w:hAnsi="仿宋_GB2312" w:cs="仿宋_GB2312" w:eastAsia="仿宋_GB2312"/>
                <w:sz w:val="21"/>
              </w:rPr>
              <w:t>3.3实现与科技业务系统登录认证服务功能。</w:t>
            </w:r>
          </w:p>
          <w:p>
            <w:pPr>
              <w:pStyle w:val="null3"/>
              <w:ind w:firstLine="495"/>
              <w:jc w:val="both"/>
            </w:pPr>
            <w:r>
              <w:rPr>
                <w:rFonts w:ascii="仿宋_GB2312" w:hAnsi="仿宋_GB2312" w:cs="仿宋_GB2312" w:eastAsia="仿宋_GB2312"/>
                <w:sz w:val="21"/>
              </w:rPr>
              <w:t>3.4确保所有操作（是指电子签署行为）的不可否认性、完整性及可追溯性。</w:t>
            </w:r>
          </w:p>
          <w:p>
            <w:pPr>
              <w:pStyle w:val="null3"/>
              <w:ind w:firstLine="495"/>
              <w:jc w:val="both"/>
            </w:pPr>
            <w:r>
              <w:rPr>
                <w:rFonts w:ascii="仿宋_GB2312" w:hAnsi="仿宋_GB2312" w:cs="仿宋_GB2312" w:eastAsia="仿宋_GB2312"/>
                <w:sz w:val="21"/>
              </w:rPr>
              <w:t>3.5保障平台自身及交互数据的高安全性、保密性与可靠性。</w:t>
            </w:r>
          </w:p>
          <w:p>
            <w:pPr>
              <w:pStyle w:val="null3"/>
              <w:ind w:firstLine="495"/>
              <w:jc w:val="both"/>
            </w:pPr>
            <w:r>
              <w:rPr>
                <w:rFonts w:ascii="仿宋_GB2312" w:hAnsi="仿宋_GB2312" w:cs="仿宋_GB2312" w:eastAsia="仿宋_GB2312"/>
                <w:sz w:val="21"/>
              </w:rPr>
              <w:t>3.6具备良好的扩展性、易用性与可维护性，支持高并发应用场景。</w:t>
            </w:r>
          </w:p>
          <w:p>
            <w:pPr>
              <w:pStyle w:val="null3"/>
              <w:ind w:firstLine="495"/>
              <w:jc w:val="both"/>
            </w:pPr>
            <w:r>
              <w:rPr>
                <w:rFonts w:ascii="仿宋_GB2312" w:hAnsi="仿宋_GB2312" w:cs="仿宋_GB2312" w:eastAsia="仿宋_GB2312"/>
                <w:sz w:val="21"/>
              </w:rPr>
              <w:t>3.7支持项目申报、审批、合同签订等关键业务环节管理部门的电子签章应用。</w:t>
            </w:r>
          </w:p>
          <w:p>
            <w:pPr>
              <w:pStyle w:val="null3"/>
              <w:ind w:firstLine="495"/>
              <w:jc w:val="both"/>
            </w:pPr>
            <w:r>
              <w:rPr>
                <w:rFonts w:ascii="仿宋_GB2312" w:hAnsi="仿宋_GB2312" w:cs="仿宋_GB2312" w:eastAsia="仿宋_GB2312"/>
                <w:sz w:val="21"/>
              </w:rPr>
              <w:t>3.8确保电子签章的法律效力与操作过程的安全、规范、可追溯。</w:t>
            </w:r>
          </w:p>
          <w:p>
            <w:pPr>
              <w:pStyle w:val="null3"/>
              <w:ind w:firstLine="495"/>
              <w:jc w:val="both"/>
            </w:pPr>
            <w:r>
              <w:rPr>
                <w:rFonts w:ascii="仿宋_GB2312" w:hAnsi="仿宋_GB2312" w:cs="仿宋_GB2312" w:eastAsia="仿宋_GB2312"/>
                <w:sz w:val="21"/>
              </w:rPr>
              <w:t>3.9提供便捷的签章申请、授权、使用与管理功能。</w:t>
            </w:r>
          </w:p>
          <w:p>
            <w:pPr>
              <w:pStyle w:val="null3"/>
              <w:ind w:firstLine="495"/>
              <w:jc w:val="both"/>
            </w:pPr>
            <w:r>
              <w:rPr>
                <w:rFonts w:ascii="仿宋_GB2312" w:hAnsi="仿宋_GB2312" w:cs="仿宋_GB2312" w:eastAsia="仿宋_GB2312"/>
                <w:sz w:val="21"/>
              </w:rPr>
              <w:t>3.10实现签章文档的安全存储与在线查验。</w:t>
            </w:r>
          </w:p>
          <w:p>
            <w:pPr>
              <w:pStyle w:val="null3"/>
              <w:ind w:firstLine="498"/>
              <w:jc w:val="both"/>
            </w:pPr>
            <w:r>
              <w:rPr>
                <w:rFonts w:ascii="仿宋_GB2312" w:hAnsi="仿宋_GB2312" w:cs="仿宋_GB2312" w:eastAsia="仿宋_GB2312"/>
                <w:sz w:val="21"/>
                <w:b/>
              </w:rPr>
              <w:t>4.建设历史数据梳理及相关辅助功能调整</w:t>
            </w:r>
          </w:p>
          <w:p>
            <w:pPr>
              <w:pStyle w:val="null3"/>
              <w:ind w:firstLine="495"/>
              <w:jc w:val="both"/>
            </w:pPr>
            <w:r>
              <w:rPr>
                <w:rFonts w:ascii="仿宋_GB2312" w:hAnsi="仿宋_GB2312" w:cs="仿宋_GB2312" w:eastAsia="仿宋_GB2312"/>
                <w:sz w:val="21"/>
              </w:rPr>
              <w:t>对系统历史数据进行全面梳理与标准化处理，提升数据质量与可用性，并据此优化相关系统功能，为管理决策与系统升级奠定数据基础。</w:t>
            </w:r>
          </w:p>
          <w:p>
            <w:pPr>
              <w:pStyle w:val="null3"/>
              <w:ind w:firstLine="495"/>
              <w:jc w:val="both"/>
            </w:pPr>
            <w:r>
              <w:rPr>
                <w:rFonts w:ascii="仿宋_GB2312" w:hAnsi="仿宋_GB2312" w:cs="仿宋_GB2312" w:eastAsia="仿宋_GB2312"/>
                <w:sz w:val="21"/>
              </w:rPr>
              <w:t>4.1历史数据梳理与功能调整</w:t>
            </w:r>
          </w:p>
          <w:p>
            <w:pPr>
              <w:pStyle w:val="null3"/>
              <w:ind w:firstLine="495"/>
              <w:jc w:val="both"/>
            </w:pPr>
            <w:r>
              <w:rPr>
                <w:rFonts w:ascii="仿宋_GB2312" w:hAnsi="仿宋_GB2312" w:cs="仿宋_GB2312" w:eastAsia="仿宋_GB2312"/>
                <w:sz w:val="21"/>
              </w:rPr>
              <w:t>4.1.1制定统一数据标准与清洗规则，完成历史数据的规范化处理、缺失信息补充、错误数据纠正与分散数据整合。</w:t>
            </w:r>
          </w:p>
          <w:p>
            <w:pPr>
              <w:pStyle w:val="null3"/>
              <w:ind w:firstLine="495"/>
              <w:jc w:val="both"/>
            </w:pPr>
            <w:r>
              <w:rPr>
                <w:rFonts w:ascii="仿宋_GB2312" w:hAnsi="仿宋_GB2312" w:cs="仿宋_GB2312" w:eastAsia="仿宋_GB2312"/>
                <w:sz w:val="21"/>
              </w:rPr>
              <w:t>4.1.2根据当前业务需求，对系统相关功能进行调整与优化，确保其与梳理后数据的有效适配。</w:t>
            </w:r>
          </w:p>
          <w:p>
            <w:pPr>
              <w:pStyle w:val="null3"/>
              <w:ind w:firstLine="495"/>
              <w:jc w:val="both"/>
            </w:pPr>
            <w:r>
              <w:rPr>
                <w:rFonts w:ascii="仿宋_GB2312" w:hAnsi="仿宋_GB2312" w:cs="仿宋_GB2312" w:eastAsia="仿宋_GB2312"/>
                <w:sz w:val="21"/>
              </w:rPr>
              <w:t>4.2新增验收智能提醒功能</w:t>
            </w:r>
          </w:p>
          <w:p>
            <w:pPr>
              <w:pStyle w:val="null3"/>
              <w:ind w:firstLine="495"/>
              <w:jc w:val="both"/>
            </w:pPr>
            <w:r>
              <w:rPr>
                <w:rFonts w:ascii="仿宋_GB2312" w:hAnsi="仿宋_GB2312" w:cs="仿宋_GB2312" w:eastAsia="仿宋_GB2312"/>
                <w:sz w:val="21"/>
              </w:rPr>
              <w:t>4.2.1实现对未按期验收项目的动态化、精准化自动提醒与督办。</w:t>
            </w:r>
          </w:p>
          <w:p>
            <w:pPr>
              <w:pStyle w:val="null3"/>
              <w:ind w:firstLine="495"/>
              <w:jc w:val="both"/>
            </w:pPr>
            <w:r>
              <w:rPr>
                <w:rFonts w:ascii="仿宋_GB2312" w:hAnsi="仿宋_GB2312" w:cs="仿宋_GB2312" w:eastAsia="仿宋_GB2312"/>
                <w:sz w:val="21"/>
              </w:rPr>
              <w:t>4.2.2支持提醒规则自定义与多渠道通知发送。</w:t>
            </w:r>
          </w:p>
          <w:p>
            <w:pPr>
              <w:pStyle w:val="null3"/>
              <w:ind w:firstLine="495"/>
              <w:jc w:val="both"/>
            </w:pPr>
            <w:r>
              <w:rPr>
                <w:rFonts w:ascii="仿宋_GB2312" w:hAnsi="仿宋_GB2312" w:cs="仿宋_GB2312" w:eastAsia="仿宋_GB2312"/>
                <w:sz w:val="21"/>
              </w:rPr>
              <w:t>4.3调整推荐部门功能</w:t>
            </w:r>
          </w:p>
          <w:p>
            <w:pPr>
              <w:pStyle w:val="null3"/>
              <w:ind w:firstLine="495"/>
              <w:jc w:val="both"/>
            </w:pPr>
            <w:r>
              <w:rPr>
                <w:rFonts w:ascii="仿宋_GB2312" w:hAnsi="仿宋_GB2312" w:cs="仿宋_GB2312" w:eastAsia="仿宋_GB2312"/>
                <w:sz w:val="21"/>
              </w:rPr>
              <w:t>4.3.1优化推荐部门的设置、层级关系与管理流程。</w:t>
            </w:r>
          </w:p>
          <w:p>
            <w:pPr>
              <w:pStyle w:val="null3"/>
              <w:ind w:firstLine="495"/>
              <w:jc w:val="both"/>
            </w:pPr>
            <w:r>
              <w:rPr>
                <w:rFonts w:ascii="仿宋_GB2312" w:hAnsi="仿宋_GB2312" w:cs="仿宋_GB2312" w:eastAsia="仿宋_GB2312"/>
                <w:sz w:val="21"/>
              </w:rPr>
              <w:t>4.3.2增强对推荐部门的动态管理、绩效评估与质量监控能力。</w:t>
            </w:r>
          </w:p>
          <w:p>
            <w:pPr>
              <w:pStyle w:val="null3"/>
              <w:ind w:firstLine="495"/>
              <w:jc w:val="both"/>
            </w:pPr>
            <w:r>
              <w:rPr>
                <w:rFonts w:ascii="仿宋_GB2312" w:hAnsi="仿宋_GB2312" w:cs="仿宋_GB2312" w:eastAsia="仿宋_GB2312"/>
                <w:sz w:val="21"/>
              </w:rPr>
              <w:t>4.4新增规则统计功能</w:t>
            </w:r>
          </w:p>
          <w:p>
            <w:pPr>
              <w:pStyle w:val="null3"/>
              <w:ind w:firstLine="495"/>
              <w:jc w:val="both"/>
            </w:pPr>
            <w:r>
              <w:rPr>
                <w:rFonts w:ascii="仿宋_GB2312" w:hAnsi="仿宋_GB2312" w:cs="仿宋_GB2312" w:eastAsia="仿宋_GB2312"/>
                <w:sz w:val="21"/>
              </w:rPr>
              <w:t>4.4.1实现对系统业务规则触发与拦截数据的实时统计、分析与预警。</w:t>
            </w:r>
          </w:p>
          <w:p>
            <w:pPr>
              <w:pStyle w:val="null3"/>
              <w:ind w:firstLine="495"/>
              <w:jc w:val="both"/>
            </w:pPr>
            <w:r>
              <w:rPr>
                <w:rFonts w:ascii="仿宋_GB2312" w:hAnsi="仿宋_GB2312" w:cs="仿宋_GB2312" w:eastAsia="仿宋_GB2312"/>
                <w:sz w:val="21"/>
              </w:rPr>
              <w:t>4.4.2支持规则执行效果的评估与优化建议生成。</w:t>
            </w:r>
          </w:p>
          <w:p>
            <w:pPr>
              <w:pStyle w:val="null3"/>
              <w:ind w:firstLine="495"/>
              <w:jc w:val="both"/>
            </w:pPr>
            <w:r>
              <w:rPr>
                <w:rFonts w:ascii="仿宋_GB2312" w:hAnsi="仿宋_GB2312" w:cs="仿宋_GB2312" w:eastAsia="仿宋_GB2312"/>
                <w:sz w:val="21"/>
              </w:rPr>
              <w:t>4.5新增批次管理功能</w:t>
            </w:r>
          </w:p>
          <w:p>
            <w:pPr>
              <w:pStyle w:val="null3"/>
              <w:ind w:firstLine="495"/>
              <w:jc w:val="both"/>
            </w:pPr>
            <w:r>
              <w:rPr>
                <w:rFonts w:ascii="仿宋_GB2312" w:hAnsi="仿宋_GB2312" w:cs="仿宋_GB2312" w:eastAsia="仿宋_GB2312"/>
                <w:sz w:val="21"/>
              </w:rPr>
              <w:t>4.5.1实现对项目批次的精准标识、灵活调整与关联管理。</w:t>
            </w:r>
          </w:p>
          <w:p>
            <w:pPr>
              <w:pStyle w:val="null3"/>
              <w:ind w:firstLine="495"/>
              <w:jc w:val="both"/>
            </w:pPr>
            <w:r>
              <w:rPr>
                <w:rFonts w:ascii="仿宋_GB2312" w:hAnsi="仿宋_GB2312" w:cs="仿宋_GB2312" w:eastAsia="仿宋_GB2312"/>
                <w:sz w:val="21"/>
              </w:rPr>
              <w:t>4.5.2支持多批次项目的分类统计与跟踪管理。</w:t>
            </w:r>
          </w:p>
          <w:p>
            <w:pPr>
              <w:pStyle w:val="null3"/>
              <w:ind w:firstLine="498"/>
              <w:jc w:val="both"/>
            </w:pPr>
            <w:r>
              <w:rPr>
                <w:rFonts w:ascii="仿宋_GB2312" w:hAnsi="仿宋_GB2312" w:cs="仿宋_GB2312" w:eastAsia="仿宋_GB2312"/>
                <w:sz w:val="21"/>
                <w:b/>
              </w:rPr>
              <w:t>5.建设“以演代评”全流程管理模块</w:t>
            </w:r>
          </w:p>
          <w:p>
            <w:pPr>
              <w:pStyle w:val="null3"/>
              <w:ind w:firstLine="495"/>
              <w:jc w:val="both"/>
            </w:pPr>
            <w:r>
              <w:rPr>
                <w:rFonts w:ascii="仿宋_GB2312" w:hAnsi="仿宋_GB2312" w:cs="仿宋_GB2312" w:eastAsia="仿宋_GB2312"/>
                <w:sz w:val="21"/>
              </w:rPr>
              <w:t>构建集成化线上评审平台，实现</w:t>
            </w:r>
            <w:r>
              <w:rPr>
                <w:rFonts w:ascii="仿宋_GB2312" w:hAnsi="仿宋_GB2312" w:cs="仿宋_GB2312" w:eastAsia="仿宋_GB2312"/>
                <w:sz w:val="21"/>
              </w:rPr>
              <w:t>“以演代评”模式的全流程线上管理，提升评审效率、透明度与公正性。</w:t>
            </w:r>
          </w:p>
          <w:p>
            <w:pPr>
              <w:pStyle w:val="null3"/>
              <w:ind w:firstLine="495"/>
              <w:jc w:val="both"/>
            </w:pPr>
            <w:r>
              <w:rPr>
                <w:rFonts w:ascii="仿宋_GB2312" w:hAnsi="仿宋_GB2312" w:cs="仿宋_GB2312" w:eastAsia="仿宋_GB2312"/>
                <w:sz w:val="21"/>
              </w:rPr>
              <w:t>5.1支持项目报名、资格审核、线上路演、结果公示等全环节线上化操作；</w:t>
            </w:r>
          </w:p>
          <w:p>
            <w:pPr>
              <w:pStyle w:val="null3"/>
              <w:ind w:firstLine="495"/>
              <w:jc w:val="both"/>
            </w:pPr>
            <w:r>
              <w:rPr>
                <w:rFonts w:ascii="仿宋_GB2312" w:hAnsi="仿宋_GB2312" w:cs="仿宋_GB2312" w:eastAsia="仿宋_GB2312"/>
                <w:sz w:val="21"/>
              </w:rPr>
              <w:t>5.2提供线上路演日期安排和评审结果上传功能；</w:t>
            </w:r>
          </w:p>
          <w:p>
            <w:pPr>
              <w:pStyle w:val="null3"/>
              <w:ind w:firstLine="495"/>
              <w:jc w:val="both"/>
            </w:pPr>
            <w:r>
              <w:rPr>
                <w:rFonts w:ascii="仿宋_GB2312" w:hAnsi="仿宋_GB2312" w:cs="仿宋_GB2312" w:eastAsia="仿宋_GB2312"/>
                <w:sz w:val="21"/>
              </w:rPr>
              <w:t>5.3提供路演项目补贴管理功能；</w:t>
            </w:r>
          </w:p>
          <w:p>
            <w:pPr>
              <w:pStyle w:val="null3"/>
              <w:ind w:firstLine="498"/>
              <w:jc w:val="both"/>
            </w:pPr>
            <w:r>
              <w:rPr>
                <w:rFonts w:ascii="仿宋_GB2312" w:hAnsi="仿宋_GB2312" w:cs="仿宋_GB2312" w:eastAsia="仿宋_GB2312"/>
                <w:sz w:val="21"/>
                <w:b/>
              </w:rPr>
              <w:t>6.建设“先使用后付费”全流程管理子系统</w:t>
            </w:r>
          </w:p>
          <w:p>
            <w:pPr>
              <w:pStyle w:val="null3"/>
              <w:ind w:firstLine="495"/>
              <w:jc w:val="both"/>
            </w:pPr>
            <w:r>
              <w:rPr>
                <w:rFonts w:ascii="仿宋_GB2312" w:hAnsi="仿宋_GB2312" w:cs="仿宋_GB2312" w:eastAsia="仿宋_GB2312"/>
                <w:sz w:val="21"/>
              </w:rPr>
              <w:t>构建</w:t>
            </w:r>
            <w:r>
              <w:rPr>
                <w:rFonts w:ascii="仿宋_GB2312" w:hAnsi="仿宋_GB2312" w:cs="仿宋_GB2312" w:eastAsia="仿宋_GB2312"/>
                <w:sz w:val="21"/>
              </w:rPr>
              <w:t>“先使用后付费”模式的数字化管理体系，降低科技成果转化门槛，促进供需精准对接，加速科技成果转化。</w:t>
            </w:r>
          </w:p>
          <w:p>
            <w:pPr>
              <w:pStyle w:val="null3"/>
              <w:ind w:firstLine="495"/>
              <w:jc w:val="both"/>
            </w:pPr>
            <w:r>
              <w:rPr>
                <w:rFonts w:ascii="仿宋_GB2312" w:hAnsi="仿宋_GB2312" w:cs="仿宋_GB2312" w:eastAsia="仿宋_GB2312"/>
                <w:sz w:val="21"/>
              </w:rPr>
              <w:t>6.1实现科技成果发布、企业试用申请、试用过程管理、履约付费、转化跟踪等全流程线上管理。</w:t>
            </w:r>
          </w:p>
          <w:p>
            <w:pPr>
              <w:pStyle w:val="null3"/>
              <w:ind w:firstLine="495"/>
              <w:jc w:val="both"/>
            </w:pPr>
            <w:r>
              <w:rPr>
                <w:rFonts w:ascii="仿宋_GB2312" w:hAnsi="仿宋_GB2312" w:cs="仿宋_GB2312" w:eastAsia="仿宋_GB2312"/>
                <w:sz w:val="21"/>
              </w:rPr>
              <w:t>6.2建立完善的成果信息动态展示。</w:t>
            </w:r>
          </w:p>
          <w:p>
            <w:pPr>
              <w:pStyle w:val="null3"/>
              <w:ind w:firstLine="495"/>
              <w:jc w:val="both"/>
            </w:pPr>
            <w:r>
              <w:rPr>
                <w:rFonts w:ascii="仿宋_GB2312" w:hAnsi="仿宋_GB2312" w:cs="仿宋_GB2312" w:eastAsia="仿宋_GB2312"/>
                <w:sz w:val="21"/>
              </w:rPr>
              <w:t>6.3提供供需智能匹配与对接服务。。</w:t>
            </w:r>
          </w:p>
          <w:p>
            <w:pPr>
              <w:pStyle w:val="null3"/>
              <w:ind w:firstLine="498"/>
              <w:jc w:val="both"/>
            </w:pPr>
            <w:r>
              <w:rPr>
                <w:rFonts w:ascii="仿宋_GB2312" w:hAnsi="仿宋_GB2312" w:cs="仿宋_GB2312" w:eastAsia="仿宋_GB2312"/>
                <w:sz w:val="21"/>
                <w:b/>
              </w:rPr>
              <w:t>7.建设省级科技成果登记管理子系统</w:t>
            </w:r>
          </w:p>
          <w:p>
            <w:pPr>
              <w:pStyle w:val="null3"/>
              <w:ind w:firstLine="495"/>
              <w:jc w:val="both"/>
            </w:pPr>
            <w:r>
              <w:rPr>
                <w:rFonts w:ascii="仿宋_GB2312" w:hAnsi="仿宋_GB2312" w:cs="仿宋_GB2312" w:eastAsia="仿宋_GB2312"/>
                <w:sz w:val="21"/>
              </w:rPr>
              <w:t>构建标准化、规范化的科技成果登记管理体系，确保成果信息的准确、完整，促进成果共享与转化应用。</w:t>
            </w:r>
          </w:p>
          <w:p>
            <w:pPr>
              <w:pStyle w:val="null3"/>
              <w:ind w:firstLine="495"/>
              <w:jc w:val="both"/>
            </w:pPr>
            <w:r>
              <w:rPr>
                <w:rFonts w:ascii="仿宋_GB2312" w:hAnsi="仿宋_GB2312" w:cs="仿宋_GB2312" w:eastAsia="仿宋_GB2312"/>
                <w:sz w:val="21"/>
              </w:rPr>
              <w:t>7.1提供统一、便捷的在线成果登记入口与标准化填报流程。</w:t>
            </w:r>
          </w:p>
          <w:p>
            <w:pPr>
              <w:pStyle w:val="null3"/>
              <w:ind w:firstLine="495"/>
              <w:jc w:val="both"/>
            </w:pPr>
            <w:r>
              <w:rPr>
                <w:rFonts w:ascii="仿宋_GB2312" w:hAnsi="仿宋_GB2312" w:cs="仿宋_GB2312" w:eastAsia="仿宋_GB2312"/>
                <w:sz w:val="21"/>
              </w:rPr>
              <w:t>7.2支持对登记成果的分类、统计、查询与价值评估。</w:t>
            </w:r>
          </w:p>
          <w:p>
            <w:pPr>
              <w:pStyle w:val="null3"/>
              <w:ind w:firstLine="495"/>
              <w:jc w:val="both"/>
            </w:pPr>
            <w:r>
              <w:rPr>
                <w:rFonts w:ascii="仿宋_GB2312" w:hAnsi="仿宋_GB2312" w:cs="仿宋_GB2312" w:eastAsia="仿宋_GB2312"/>
                <w:sz w:val="21"/>
              </w:rPr>
              <w:t>7.3实现成果信息的规范存储、安全共享与高效检索。</w:t>
            </w:r>
          </w:p>
          <w:p>
            <w:pPr>
              <w:pStyle w:val="null3"/>
              <w:ind w:firstLine="495"/>
              <w:jc w:val="both"/>
            </w:pPr>
            <w:r>
              <w:rPr>
                <w:rFonts w:ascii="仿宋_GB2312" w:hAnsi="仿宋_GB2312" w:cs="仿宋_GB2312" w:eastAsia="仿宋_GB2312"/>
                <w:sz w:val="21"/>
              </w:rPr>
              <w:t>7.4为成果转化提供数据支持与对接服务。</w:t>
            </w:r>
          </w:p>
          <w:p>
            <w:pPr>
              <w:pStyle w:val="null3"/>
              <w:ind w:firstLine="498"/>
              <w:jc w:val="both"/>
            </w:pPr>
            <w:r>
              <w:rPr>
                <w:rFonts w:ascii="仿宋_GB2312" w:hAnsi="仿宋_GB2312" w:cs="仿宋_GB2312" w:eastAsia="仿宋_GB2312"/>
                <w:sz w:val="21"/>
                <w:b/>
              </w:rPr>
              <w:t>8.建设科普大赛管理子系统</w:t>
            </w:r>
          </w:p>
          <w:p>
            <w:pPr>
              <w:pStyle w:val="null3"/>
              <w:ind w:firstLine="495"/>
              <w:jc w:val="both"/>
            </w:pPr>
            <w:r>
              <w:rPr>
                <w:rFonts w:ascii="仿宋_GB2312" w:hAnsi="仿宋_GB2312" w:cs="仿宋_GB2312" w:eastAsia="仿宋_GB2312"/>
                <w:sz w:val="21"/>
              </w:rPr>
              <w:t>搭建专业化的线上科普大赛管理平台，简化组织流程，扩大活动影响力，提升公众参与度。</w:t>
            </w:r>
          </w:p>
          <w:p>
            <w:pPr>
              <w:pStyle w:val="null3"/>
              <w:ind w:firstLine="495"/>
              <w:jc w:val="both"/>
            </w:pPr>
            <w:r>
              <w:rPr>
                <w:rFonts w:ascii="仿宋_GB2312" w:hAnsi="仿宋_GB2312" w:cs="仿宋_GB2312" w:eastAsia="仿宋_GB2312"/>
                <w:sz w:val="21"/>
              </w:rPr>
              <w:t>8.1实现大赛报名、作品提交、在线评审、结果公布、数据统计等全流程线上化管理。</w:t>
            </w:r>
          </w:p>
          <w:p>
            <w:pPr>
              <w:pStyle w:val="null3"/>
              <w:ind w:firstLine="495"/>
              <w:jc w:val="both"/>
            </w:pPr>
            <w:r>
              <w:rPr>
                <w:rFonts w:ascii="仿宋_GB2312" w:hAnsi="仿宋_GB2312" w:cs="仿宋_GB2312" w:eastAsia="仿宋_GB2312"/>
                <w:sz w:val="21"/>
              </w:rPr>
              <w:t>8.2提供多渠道宣传推广与公众互动功能。</w:t>
            </w:r>
          </w:p>
          <w:p>
            <w:pPr>
              <w:pStyle w:val="null3"/>
              <w:ind w:firstLine="495"/>
              <w:jc w:val="both"/>
            </w:pPr>
            <w:r>
              <w:rPr>
                <w:rFonts w:ascii="仿宋_GB2312" w:hAnsi="仿宋_GB2312" w:cs="仿宋_GB2312" w:eastAsia="仿宋_GB2312"/>
                <w:sz w:val="21"/>
              </w:rPr>
              <w:t>8.3支持多角色（组织方、评委、参赛者等）协同操作。</w:t>
            </w:r>
          </w:p>
          <w:p>
            <w:pPr>
              <w:pStyle w:val="null3"/>
              <w:ind w:firstLine="495"/>
              <w:jc w:val="both"/>
            </w:pPr>
            <w:r>
              <w:rPr>
                <w:rFonts w:ascii="仿宋_GB2312" w:hAnsi="仿宋_GB2312" w:cs="仿宋_GB2312" w:eastAsia="仿宋_GB2312"/>
                <w:sz w:val="21"/>
              </w:rPr>
              <w:t>8.4确保大赛过程的公平、公正、公开。</w:t>
            </w:r>
          </w:p>
          <w:p>
            <w:pPr>
              <w:pStyle w:val="null3"/>
              <w:ind w:firstLine="495"/>
              <w:jc w:val="both"/>
            </w:pPr>
            <w:r>
              <w:rPr>
                <w:rFonts w:ascii="仿宋_GB2312" w:hAnsi="仿宋_GB2312" w:cs="仿宋_GB2312" w:eastAsia="仿宋_GB2312"/>
                <w:sz w:val="21"/>
                <w:b/>
              </w:rPr>
              <w:t>四、技术要求</w:t>
            </w:r>
          </w:p>
          <w:p>
            <w:pPr>
              <w:pStyle w:val="null3"/>
              <w:ind w:firstLine="498"/>
              <w:jc w:val="both"/>
            </w:pPr>
            <w:r>
              <w:rPr>
                <w:rFonts w:ascii="仿宋_GB2312" w:hAnsi="仿宋_GB2312" w:cs="仿宋_GB2312" w:eastAsia="仿宋_GB2312"/>
                <w:sz w:val="21"/>
                <w:b/>
              </w:rPr>
              <w:t>1.技术架构</w:t>
            </w:r>
          </w:p>
          <w:p>
            <w:pPr>
              <w:pStyle w:val="null3"/>
              <w:ind w:firstLine="495"/>
              <w:jc w:val="both"/>
            </w:pPr>
            <w:r>
              <w:rPr>
                <w:rFonts w:ascii="仿宋_GB2312" w:hAnsi="仿宋_GB2312" w:cs="仿宋_GB2312" w:eastAsia="仿宋_GB2312"/>
                <w:sz w:val="21"/>
              </w:rPr>
              <w:t>本次招标建设需求内容，需在已有陕西科技业务信息系统上建设，技术架构需考虑当前已有系统涉及的软硬件环境、现有信息系统的应用情况、用户的功能需求、今后的系统维护升级以及和外部系统的接口等因素。同时体系结构应具有高度扩展性、灵活性，为将来更好地实现资源的整合、管理与功能扩展打下良好的基础。</w:t>
            </w:r>
          </w:p>
          <w:p>
            <w:pPr>
              <w:pStyle w:val="null3"/>
              <w:ind w:firstLine="498"/>
              <w:jc w:val="both"/>
            </w:pPr>
            <w:r>
              <w:rPr>
                <w:rFonts w:ascii="仿宋_GB2312" w:hAnsi="仿宋_GB2312" w:cs="仿宋_GB2312" w:eastAsia="仿宋_GB2312"/>
                <w:sz w:val="21"/>
                <w:b/>
              </w:rPr>
              <w:t>2.技术路线</w:t>
            </w:r>
          </w:p>
          <w:p>
            <w:pPr>
              <w:pStyle w:val="null3"/>
              <w:ind w:firstLine="495"/>
              <w:jc w:val="both"/>
            </w:pPr>
            <w:r>
              <w:rPr>
                <w:rFonts w:ascii="仿宋_GB2312" w:hAnsi="仿宋_GB2312" w:cs="仿宋_GB2312" w:eastAsia="仿宋_GB2312"/>
                <w:sz w:val="21"/>
              </w:rPr>
              <w:t>系统应采用模块化、组件化、面向对象的设计开发模式、基于</w:t>
            </w:r>
            <w:r>
              <w:rPr>
                <w:rFonts w:ascii="仿宋_GB2312" w:hAnsi="仿宋_GB2312" w:cs="仿宋_GB2312" w:eastAsia="仿宋_GB2312"/>
                <w:sz w:val="21"/>
              </w:rPr>
              <w:t>J2EE框架的技术体系，满足跨操作系统的要求。</w:t>
            </w:r>
          </w:p>
          <w:p>
            <w:pPr>
              <w:pStyle w:val="null3"/>
              <w:ind w:firstLine="495"/>
              <w:jc w:val="both"/>
            </w:pPr>
            <w:r>
              <w:rPr>
                <w:rFonts w:ascii="仿宋_GB2312" w:hAnsi="仿宋_GB2312" w:cs="仿宋_GB2312" w:eastAsia="仿宋_GB2312"/>
                <w:sz w:val="21"/>
              </w:rPr>
              <w:t>平台架构：平台开发采用</w:t>
            </w:r>
            <w:r>
              <w:rPr>
                <w:rFonts w:ascii="仿宋_GB2312" w:hAnsi="仿宋_GB2312" w:cs="仿宋_GB2312" w:eastAsia="仿宋_GB2312"/>
                <w:sz w:val="21"/>
              </w:rPr>
              <w:t>J2EE 三层架构体系；</w:t>
            </w:r>
          </w:p>
          <w:p>
            <w:pPr>
              <w:pStyle w:val="null3"/>
              <w:ind w:firstLine="495"/>
              <w:jc w:val="both"/>
            </w:pPr>
            <w:r>
              <w:rPr>
                <w:rFonts w:ascii="仿宋_GB2312" w:hAnsi="仿宋_GB2312" w:cs="仿宋_GB2312" w:eastAsia="仿宋_GB2312"/>
                <w:sz w:val="21"/>
              </w:rPr>
              <w:t>开发语言：</w:t>
            </w:r>
            <w:r>
              <w:rPr>
                <w:rFonts w:ascii="仿宋_GB2312" w:hAnsi="仿宋_GB2312" w:cs="仿宋_GB2312" w:eastAsia="仿宋_GB2312"/>
                <w:sz w:val="21"/>
              </w:rPr>
              <w:t>Java；</w:t>
            </w:r>
          </w:p>
          <w:p>
            <w:pPr>
              <w:pStyle w:val="null3"/>
              <w:ind w:firstLine="495"/>
              <w:jc w:val="both"/>
            </w:pPr>
            <w:r>
              <w:rPr>
                <w:rFonts w:ascii="仿宋_GB2312" w:hAnsi="仿宋_GB2312" w:cs="仿宋_GB2312" w:eastAsia="仿宋_GB2312"/>
                <w:sz w:val="21"/>
              </w:rPr>
              <w:t>服务器操作系统：</w:t>
            </w:r>
            <w:r>
              <w:rPr>
                <w:rFonts w:ascii="仿宋_GB2312" w:hAnsi="仿宋_GB2312" w:cs="仿宋_GB2312" w:eastAsia="仿宋_GB2312"/>
                <w:sz w:val="21"/>
              </w:rPr>
              <w:t>Linux操作系统；</w:t>
            </w:r>
          </w:p>
          <w:p>
            <w:pPr>
              <w:pStyle w:val="null3"/>
              <w:ind w:firstLine="495"/>
              <w:jc w:val="both"/>
            </w:pPr>
            <w:r>
              <w:rPr>
                <w:rFonts w:ascii="仿宋_GB2312" w:hAnsi="仿宋_GB2312" w:cs="仿宋_GB2312" w:eastAsia="仿宋_GB2312"/>
                <w:sz w:val="21"/>
              </w:rPr>
              <w:t>数据库：</w:t>
            </w:r>
            <w:r>
              <w:rPr>
                <w:rFonts w:ascii="仿宋_GB2312" w:hAnsi="仿宋_GB2312" w:cs="仿宋_GB2312" w:eastAsia="仿宋_GB2312"/>
                <w:sz w:val="21"/>
              </w:rPr>
              <w:t>Oracle 11G企业版或以上版本；</w:t>
            </w:r>
          </w:p>
          <w:p>
            <w:pPr>
              <w:pStyle w:val="null3"/>
              <w:ind w:firstLine="495"/>
              <w:jc w:val="both"/>
            </w:pPr>
            <w:r>
              <w:rPr>
                <w:rFonts w:ascii="仿宋_GB2312" w:hAnsi="仿宋_GB2312" w:cs="仿宋_GB2312" w:eastAsia="仿宋_GB2312"/>
                <w:sz w:val="21"/>
              </w:rPr>
              <w:t>WEB 服务器：Tomcat+nginx；</w:t>
            </w:r>
          </w:p>
          <w:p>
            <w:pPr>
              <w:pStyle w:val="null3"/>
            </w:pPr>
            <w:r>
              <w:rPr>
                <w:rFonts w:ascii="仿宋_GB2312" w:hAnsi="仿宋_GB2312" w:cs="仿宋_GB2312" w:eastAsia="仿宋_GB2312"/>
                <w:sz w:val="21"/>
              </w:rPr>
              <w:t xml:space="preserve">   浏览器：应满足各种主流浏览器。</w:t>
            </w:r>
            <w:r>
              <w:rPr>
                <w:rFonts w:ascii="仿宋_GB2312" w:hAnsi="仿宋_GB2312" w:cs="仿宋_GB2312" w:eastAsia="仿宋_GB2312"/>
                <w:sz w:val="21"/>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项目建设期内与项目有关的驻场人数不少于15人，质保期内驻场人员不少于5人。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培训 （1）中标人应提供相应的应用软件技术和系统操作等方面的培训，培训所使用的语言应是中文，否则中标人应提供相应的翻译。 （2）需针对用户按照不同的角色提供不同的培训课程，如系统管理员、普通用户、领导等角色，安排不同的培训课程。 （3）培训费用计入总价。 2.知识产权 （1）中标人应保证采购人在使用产品或产品的任何部分不受任何关于侵犯所有权和工业产权、著作权（版权）等知识产权的指控。如果任何第三方提出侵权指控，中标人承担一切与之有关的费用。 （2）本项目产生的知识成果及知识产权等成果为项目采购人所有。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1.完成期：合同签订生效之日起，4个月内完成整个项目实施。 2.运行期：平台开发完成并运行1个月后，经采购人书面确认后进行验收环节。 3.质保期：自系统验收合格之日起提供1年质保。</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1.验收时间：平台开发完成并运行1个月后，由中标人提出验收申请，采购人应于中标人提出验收申请后组织验收。 2.验收标准： （1）中标人必须对其所提供的全部系统进行安装，其中包括：安装、测试和联网调试，平台开发完成并运行1个月后验收。 （2）技术文件 A.中标人必须向采购人单位提供系统的安装、运行、使用、测试、诊断和维修的技术文件。 B.中标人必须向采购人单位提供系统配置说明、需求调研报告、验收报告、采购人使用手册、维护手册、培训教材等相关文档（包括电子文档）。 （3）产品内容及所有技术性能规格参数应符合招标文件和中标人投标文件所要求的标准，并由采购方试用并验收通过。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均应全面履行本合同，任何一方不履行或不按约定履行均构成违约，违约方应赔偿因此给对方造成的全部损失。因履行合同所发生的一切争议，双方应友好协商解决，协商不成的，提交采购人所在地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响应函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1.系统要求（15分）： 供应商结合项目背景目标、建设内容、技术要求等内容，对系统的功能方面、技术服务方面等环节要求，理解透彻。须对采购人的要求逐一进行详细描述：（1）内容描述完整、详细，思路清晰、层次清楚，贴合采购人要求，得15分；（2）内容描述完整，有较为清晰的思路清晰、有条理性，基本满足采购人要求，得11分；（3）内容描述不完整，有遗漏，对项目理解不够清晰，得7分；（4）未提供相关内容得0分。 2.技术方案（20分）：为确保系统功能模块设计的合理性、技术的先进性、功能的完善性、性能的稳定性、安全的保密性等，供应商须制定全面、详细、切实可行的总体技术方案，主要技术指标及功能满足技术要求、行业技术标准及国家有关政策和法律法规的要求，有效提升采购人的服务需求，且无知识产权纠纷：（1）技术方案全面、详细、切实可行，主要技术指标及功能完全满足要求，得20分；（2）技术方案完整、基本可行，主要技术指标及功能能满足基本要求，得15分；（3）有技术方案，主要技术指标及功能不能满足基本要求，得10分；（4）技术方案不完整，有遗漏，对项目理解不够清晰，得5分；（4）未提供相关内容得0分。 3.项目实施（10分）：根据供应商提供项目实施方案：（1）实施方案全面、详细、层次清楚、结构合理，切实可行的，得10分；（2）实施方案基本完整、可行，得7分；（3）有实施方案，但内容不全面、详细或可行性较差，得3分；（4）未提供项目实施方案得0分。 4.根据供应商提供的工作进度计划安排的合理性及进度保障措施的有效性等内容（5分）：（1）工作进度计划安排合理，有完整、可行、有效的进度保障措施，得5分；（2）工作进度计划安排合理，有相应的进度保障措施，得3分；（3）有工作进度计划安排及进度保障措施，但不够合理，得1分；（4）未提供工作进度计划得0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经过有效性和符合性审核合格的供应商，对完成期限、质保期优于招标文件要求的，每项加1分，计满2分为止。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驻场服务</w:t>
            </w:r>
          </w:p>
        </w:tc>
        <w:tc>
          <w:tcPr>
            <w:tcW w:type="dxa" w:w="2492"/>
          </w:tcPr>
          <w:p>
            <w:pPr>
              <w:pStyle w:val="null3"/>
            </w:pPr>
            <w:r>
              <w:rPr>
                <w:rFonts w:ascii="仿宋_GB2312" w:hAnsi="仿宋_GB2312" w:cs="仿宋_GB2312" w:eastAsia="仿宋_GB2312"/>
              </w:rPr>
              <w:t>供应商针对本项目驻场人员配备投入情况，根据项目驻场人员的实施经验、资历、相关证书、过往所获荣誉（8分）： 1.驻场人员岗位设置合理、明确，投入人员专业性、经验性强。完全满足项目需求中对人员要求且提供相关证明材料齐全的得8分； 2.驻场人员岗位设置较为合理，投入人员具有一定专业性、经验性。基本满足项目需求中对人员要求，且提供证明材料基本齐全的得5分； 3.驻场人员岗位设置不合理，证明材料不全，得2分；4.未提供本项目驻场人员配备投入情况，得0分。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供应商需将PPT演示内容录制为视频文件格式，并使用U盘拷贝同纸质版文件同时提交（备注：某某单位系统演示内容），以便于评标专家评标时使用，进行本项目演示，重点阐述以下内容：阐述对本项目的整体理解；对本项目建设目标和建设内容理解充分，对本次系统功能开发升级，总体架构设计、网络系统、应用系统建设等方面理解深刻、设计合理；针对实际情况提出合理化建议；对本项目重点和难点的分析，提出合理化建议（20分）：1.方案演示阐述完整，包含但不限于上述内容，深刻理解项目建设的目标、内容和相关要求，建设方案及其重难点分析合理，得20分；2.方案演示阐述基本完整，项目理解深度和项目难点分析一般，基本或部分满足上述要求的，得12分；3.方案演示阐述不完整，或项目理解深度和项目难点分析较差，不满足上述要求的，得6分；4.投标人放弃方案演示，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售后服务保障承诺</w:t>
            </w:r>
          </w:p>
        </w:tc>
        <w:tc>
          <w:tcPr>
            <w:tcW w:type="dxa" w:w="2492"/>
          </w:tcPr>
          <w:p>
            <w:pPr>
              <w:pStyle w:val="null3"/>
            </w:pPr>
            <w:r>
              <w:rPr>
                <w:rFonts w:ascii="仿宋_GB2312" w:hAnsi="仿宋_GB2312" w:cs="仿宋_GB2312" w:eastAsia="仿宋_GB2312"/>
              </w:rPr>
              <w:t>1.供应商须提供优质的售后技术服务，必须有足够的技术人员可支援从事业务系统的维护工作，能够熟练地进行系统维护工作，建立系统性的故障处理机制，同时针对突发和应急事件，有完整有效的处置方案（5分）：（1）售后技术服务完整可行，有足够的、有经验的技术人员支援维护工作，有系统性的故障处理机制，有完整有效的突发和应急事件的处置方案，得5分；（2）有售后技术服务，有技术人员支援维护工作，有故障处理机制，有突发和应急事件的处置方案，得3分；（3）有相关的售后技术服务，可以支援维护工作的技术人员较少，或未提供故障处理机制，或未提供突发和应急事件的处置方案，得1分；（4）未提供得0分。 2.供应商须制定完善的培训计划、方案及措施，提供全面的规范、方案及应用软件技术和系统操作等方面的培训，针对用户按照不同的角色提供不同的培训课程，如系统管理员、普通用户、领导等角色，安排不同的培训课程，确保用户能够正确熟练地使用系统（5分）：（1）培训计划、方案及措施完整、可行，有全面的规范、方案及应用软件技术和系统操作等方面的培训，有针对不同的角色提供不同的培训课程，得5分；（2）培训计划、方案及措施基本完整，有相关的应用软件技术、系统操作等方面的培训，得3分；（3）有培训计划、方案及措施，得1分。（4）未提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