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93B3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topLinePunct w:val="0"/>
        <w:bidi w:val="0"/>
        <w:snapToGrid w:val="0"/>
        <w:spacing w:beforeAutospacing="0" w:afterAutospacing="0" w:line="360" w:lineRule="auto"/>
        <w:ind w:left="0" w:right="0" w:firstLine="0"/>
        <w:jc w:val="center"/>
        <w:outlineLvl w:val="9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功能演示</w:t>
      </w:r>
    </w:p>
    <w:p w14:paraId="79D5C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仿宋" w:hAnsi="仿宋" w:eastAsia="仿宋" w:cs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（各供应商根据评审办法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lang w:val="en-US" w:eastAsia="zh-CN"/>
        </w:rPr>
        <w:t>及技术参数要求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lang w:val="en-US" w:eastAsia="zh-CN"/>
        </w:rPr>
        <w:t>结合本单位实际情况进行系统功能演示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）</w:t>
      </w:r>
    </w:p>
    <w:p w14:paraId="6A9C0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both"/>
        <w:textAlignment w:val="auto"/>
        <w:rPr>
          <w:rFonts w:ascii="仿宋" w:hAnsi="仿宋" w:eastAsia="仿宋" w:cs="仿宋"/>
          <w:b/>
          <w:bCs/>
          <w:color w:val="auto"/>
          <w:highlight w:val="none"/>
          <w:lang w:eastAsia="zh-CN"/>
        </w:rPr>
      </w:pPr>
      <w:r>
        <w:rPr>
          <w:rFonts w:hint="default" w:ascii="仿宋" w:hAnsi="仿宋" w:eastAsia="仿宋" w:cs="仿宋"/>
          <w:color w:val="auto"/>
          <w:highlight w:val="none"/>
          <w:lang w:val="en-US" w:eastAsia="zh-Hans" w:bidi="ar-SA"/>
        </w:rPr>
        <w:t>由于本项目需要进行现场功能演示，请各投标人委派功能演示人员于开标截止时间前抵达西安市唐延路37号class公馆B栋1103室等候演示，未按时到达的投标人视为自动放弃参与演示环节。</w:t>
      </w:r>
    </w:p>
    <w:p w14:paraId="3525633E"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</w:p>
    <w:p w14:paraId="5F0D94F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B6368"/>
    <w:rsid w:val="0021110F"/>
    <w:rsid w:val="3C790022"/>
    <w:rsid w:val="583B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2025-10-27T02:32:00Z</dcterms:created>
  <dc:creator>德仁招标</dc:creator>
  <cp:lastModifiedBy>德仁招标</cp:lastModifiedBy>
  <dcterms:modified xsi:type="dcterms:W3CDTF">2025-11-18T10:21:11Z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3664A6BCB7C145D3B19321DE3F39D882_11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