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版本号：ZJZBSX-251105-1101520251118001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文物保护工程项目咨询评估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ZJZBSX-251105-11015</w:t>
      </w:r>
      <w:r>
        <w:br/>
      </w:r>
      <w:r>
        <w:br/>
      </w:r>
      <w:r>
        <w:br/>
      </w:r>
    </w:p>
    <w:p>
      <w:pPr>
        <w:pStyle w:val="null3"/>
        <w:jc w:val="center"/>
        <w:outlineLvl w:val="2"/>
      </w:pPr>
      <w:r>
        <w:rPr>
          <w:rFonts w:ascii="仿宋_GB2312" w:hAnsi="仿宋_GB2312" w:cs="仿宋_GB2312" w:eastAsia="仿宋_GB2312"/>
          <w:sz w:val="28"/>
          <w:b/>
        </w:rPr>
        <w:t>陕西省文物局机关</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陕西省文物局机关</w:t>
      </w:r>
      <w:r>
        <w:rPr>
          <w:rFonts w:ascii="仿宋_GB2312" w:hAnsi="仿宋_GB2312" w:cs="仿宋_GB2312" w:eastAsia="仿宋_GB2312"/>
        </w:rPr>
        <w:t>委托，拟对</w:t>
      </w:r>
      <w:r>
        <w:rPr>
          <w:rFonts w:ascii="仿宋_GB2312" w:hAnsi="仿宋_GB2312" w:cs="仿宋_GB2312" w:eastAsia="仿宋_GB2312"/>
        </w:rPr>
        <w:t>文物保护工程项目咨询评估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ZJZBSX-251105-11015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文物保护工程项目咨询评估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党中央国务院关于“进一步简政放权，深化行政审批制度改革”精神，推动文物保护项目管理制度的改革创新，实现文物保护项目行政审批和技术评估的分离，文物保护项目技术评估工作由专业评估咨询机构承担。围绕工程立项、方案报审、施工组织、竣工验收等环节，咨询评估机构根据《中华人民共和国文物保护法》、《中华人民共和国文物保护法实施条例》、《文物保护工程管理办法》等有关规章制度，结合我省文物保护项目管理工作的实际情况，组织相关专家对项目的立项计划书、文物保护工程技术方案、文物保护工程项目竣工验收进行技术评估，确保项目评估工作质量和效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核共7项：（1）主体资格：供应商为响应招标并参加投标的合法注册的企业法人（或其取得总公司授权的分支机构）、事业法人（公益一类事业单位不能参与投标）、其他组织或自然人，具有独立承担民事责任的能力。企业法人应提供合法有效的标识有统一社会信用代码的营业执照；事业法人应提供事业单位法人证书；其他组织应提供合法登记证明文件；供应商为自然人的提供身份证。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2024年度经审计的财务报告（包含审计报告和审计报告中所涉及的财务报表和报表附注），或提供2024年度供应商完整的全套财务报表（应当包括资产负债表、利润表、现金流量表、所有者权益变动表、附注），或提供2025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陕西省文物局机关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西安市雁塔区雁塔西路193号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代理服务费收费标准：招标代理服务费（即中标服务费）由中标单位支付，收费标准参照中华人民共和国国家计划委员会计价格[2002]1980号文计算收取。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陕西省文物局机关</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陕西省文物局机关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陕西省文物局机关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联系电话：029-87888601-8003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党中央国务院关于“进一步简政放权，深化行政审批制度改革”精神，推动文物保护项目管理制度的改革创新，实现文物保护项目行政审批和技术评估的分离，文物保护项目技术评估工作由专业评估咨询机构承担。围绕工程立项、方案报审、施工组织、竣工验收等环节，咨询评估机构根据《中华人民共和国文物保护法》、《中华人民共和国文物保护法实施条例》、《文物保护工程管理办法》等有关规章制度，结合我省文物保护项目管理工作的实际情况，组织相关专家对项目的立项计划书、文物保护工程技术方案、文物保护工程项目竣工验收进行技术评估，确保项目评估工作质量和效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文物保护工程项目咨询评估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标的名称：文物保护工程项目咨询评估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一、项目内容</w:t>
            </w:r>
          </w:p>
          <w:p>
            <w:pPr>
              <w:pStyle w:val="null3"/>
            </w:pPr>
            <w:r>
              <w:rPr>
                <w:rFonts w:ascii="仿宋_GB2312" w:hAnsi="仿宋_GB2312" w:cs="仿宋_GB2312" w:eastAsia="仿宋_GB2312"/>
              </w:rPr>
              <w:t>（一）项目立项计划书评审</w:t>
            </w:r>
          </w:p>
          <w:p>
            <w:pPr>
              <w:pStyle w:val="null3"/>
            </w:pPr>
            <w:r>
              <w:rPr>
                <w:rFonts w:ascii="仿宋_GB2312" w:hAnsi="仿宋_GB2312" w:cs="仿宋_GB2312" w:eastAsia="仿宋_GB2312"/>
              </w:rPr>
              <w:t>采取集中会审、现场审核或专家函审等方式，及时组织项目立项报告评审或者项目计划确认。不同意立项的项目，明确项目暂缓原因或项目《计划书》存在的问题。</w:t>
            </w:r>
          </w:p>
          <w:p>
            <w:pPr>
              <w:pStyle w:val="null3"/>
            </w:pPr>
            <w:r>
              <w:rPr>
                <w:rFonts w:ascii="仿宋_GB2312" w:hAnsi="仿宋_GB2312" w:cs="仿宋_GB2312" w:eastAsia="仿宋_GB2312"/>
              </w:rPr>
              <w:t>（二）</w:t>
            </w:r>
            <w:r>
              <w:rPr>
                <w:rFonts w:ascii="仿宋_GB2312" w:hAnsi="仿宋_GB2312" w:cs="仿宋_GB2312" w:eastAsia="仿宋_GB2312"/>
              </w:rPr>
              <w:t>项目技术</w:t>
            </w:r>
            <w:r>
              <w:rPr>
                <w:rFonts w:ascii="仿宋_GB2312" w:hAnsi="仿宋_GB2312" w:cs="仿宋_GB2312" w:eastAsia="仿宋_GB2312"/>
              </w:rPr>
              <w:t>方案评审</w:t>
            </w:r>
          </w:p>
          <w:p>
            <w:pPr>
              <w:pStyle w:val="null3"/>
            </w:pPr>
            <w:r>
              <w:rPr>
                <w:rFonts w:ascii="仿宋_GB2312" w:hAnsi="仿宋_GB2312" w:cs="仿宋_GB2312" w:eastAsia="仿宋_GB2312"/>
              </w:rPr>
              <w:t>采取专家集中会审、现场审核或专家函审等形式组织设计方案评审。每位专家针对项目设计方案、现场勘查报告、风险评估报告、设计说明、设计方案图纸、工程概（预）算进行总体评价，分别提出具体意见和建议</w:t>
            </w:r>
            <w:r>
              <w:rPr>
                <w:rFonts w:ascii="仿宋_GB2312" w:hAnsi="仿宋_GB2312" w:cs="仿宋_GB2312" w:eastAsia="仿宋_GB2312"/>
              </w:rPr>
              <w:t>,并形成项目</w:t>
            </w:r>
            <w:r>
              <w:rPr>
                <w:rFonts w:ascii="仿宋_GB2312" w:hAnsi="仿宋_GB2312" w:cs="仿宋_GB2312" w:eastAsia="仿宋_GB2312"/>
              </w:rPr>
              <w:t>评审意见。</w:t>
            </w:r>
          </w:p>
          <w:p>
            <w:pPr>
              <w:pStyle w:val="null3"/>
            </w:pPr>
            <w:r>
              <w:rPr>
                <w:rFonts w:ascii="仿宋_GB2312" w:hAnsi="仿宋_GB2312" w:cs="仿宋_GB2312" w:eastAsia="仿宋_GB2312"/>
              </w:rPr>
              <w:t>（三）竣工验收评估</w:t>
            </w:r>
          </w:p>
          <w:p>
            <w:pPr>
              <w:pStyle w:val="null3"/>
            </w:pPr>
            <w:r>
              <w:rPr>
                <w:rFonts w:ascii="仿宋_GB2312" w:hAnsi="仿宋_GB2312" w:cs="仿宋_GB2312" w:eastAsia="仿宋_GB2312"/>
                <w:sz w:val="21"/>
              </w:rPr>
              <w:t>采取专家现场验收形式，对国家或省级文物行政部门批准实施的文物保护工程、消防、安防、防雷以及科技保护等项目，按照规定程序及时组织验收，形成验收意见，并作出合格或不合格的验收结论。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二、服务技术要求</w:t>
            </w:r>
          </w:p>
          <w:p>
            <w:pPr>
              <w:pStyle w:val="null3"/>
            </w:pPr>
            <w:r>
              <w:rPr>
                <w:rFonts w:ascii="仿宋_GB2312" w:hAnsi="仿宋_GB2312" w:cs="仿宋_GB2312" w:eastAsia="仿宋_GB2312"/>
              </w:rPr>
              <w:t>（一）成交供应商应按国家技术规范、标准、规程及采购人提出的要求，完成文物保护单位文物保护项目咨询评估报告，并对其负责。</w:t>
            </w:r>
          </w:p>
          <w:p>
            <w:pPr>
              <w:pStyle w:val="null3"/>
            </w:pPr>
            <w:r>
              <w:rPr>
                <w:rFonts w:ascii="仿宋_GB2312" w:hAnsi="仿宋_GB2312" w:cs="仿宋_GB2312" w:eastAsia="仿宋_GB2312"/>
              </w:rPr>
              <w:t>（二）供应商提供服务时，服务要求应按不低于国家、省、市有关部门规定的质量标准执行。</w:t>
            </w:r>
          </w:p>
          <w:p>
            <w:pPr>
              <w:pStyle w:val="null3"/>
            </w:pPr>
            <w:r>
              <w:rPr>
                <w:rFonts w:ascii="仿宋_GB2312" w:hAnsi="仿宋_GB2312" w:cs="仿宋_GB2312" w:eastAsia="仿宋_GB2312"/>
              </w:rPr>
              <w:t>（三）咨询评估机构不得从事与其审核范围相同的文物项目方案编制及工程实施工作。</w:t>
            </w:r>
          </w:p>
          <w:p>
            <w:pPr>
              <w:pStyle w:val="null3"/>
            </w:pPr>
            <w:r>
              <w:rPr>
                <w:rFonts w:ascii="仿宋_GB2312" w:hAnsi="仿宋_GB2312" w:cs="仿宋_GB2312" w:eastAsia="仿宋_GB2312"/>
              </w:rPr>
              <w:t>（四）评估工作应遵循客观、公正、科学的原则，对文物保护项目进行咨询评估，提出明确的修改意见，出具同意或否决的评估结论，形成评估报告，并对评估报告负责。</w:t>
            </w:r>
          </w:p>
          <w:p>
            <w:pPr>
              <w:pStyle w:val="null3"/>
            </w:pPr>
            <w:r>
              <w:rPr>
                <w:rFonts w:ascii="仿宋_GB2312" w:hAnsi="仿宋_GB2312" w:cs="仿宋_GB2312" w:eastAsia="仿宋_GB2312"/>
                <w:sz w:val="21"/>
              </w:rPr>
              <w:t>（五）评估机构应依据项目的实际情况独立出具评估结论，不受其他机构或个人影响，不接受与评估相关各方提供的其他利益；评估机构应严格按照规定流程、时限进行评估工作，确保评估工作的质量和时效性；评估机构应严格执行评估回避制度和评估保密制度。与评估工作存在利害关系者应主动申明并予以回避，未经授权或许可，不应擅自泄露评估资料、专家姓名等有关评估信息；评估机构出具的评估意见应具体、科学、合理、有可操作性，评估机构对评估意见及评估结论负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自合同签订之日起到2026年9月30日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（2）合同争议解决：合同执行中发生争议的，当事人双方应协商解决，协商达不成一致时，可向采购方所在地人民法院提请诉讼。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胶装纸质投标文件贰份，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郭燕妮；联系电话：029-87888601、029-87888602转8003；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资格审核共7项</w:t>
            </w:r>
          </w:p>
        </w:tc>
        <w:tc>
          <w:tcPr>
            <w:tcW w:type="dxa" w:w="3322"/>
          </w:tcPr>
          <w:p>
            <w:pPr>
              <w:pStyle w:val="null3"/>
            </w:pPr>
            <w:r>
              <w:rPr>
                <w:rFonts w:ascii="仿宋_GB2312" w:hAnsi="仿宋_GB2312" w:cs="仿宋_GB2312" w:eastAsia="仿宋_GB2312"/>
              </w:rPr>
              <w:t>（1）主体资格：供应商为响应招标并参加投标的合法注册的企业法人（或其取得总公司授权的分支机构）、事业法人（公益一类事业单位不能参与投标）、其他组织或自然人，具有独立承担民事责任的能力。企业法人应提供合法有效的标识有统一社会信用代码的营业执照；事业法人应提供事业单位法人证书；其他组织应提供合法登记证明文件；供应商为自然人的提供身份证。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2024年度经审计的财务报告（包含审计报告和审计报告中所涉及的财务报表和报表附注），或提供2024年度供应商完整的全套财务报表（应当包括资产负债表、利润表、现金流量表、所有者权益变动表、附注），或提供2025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磋商报价是否唯一有效或磋商报价是否未超过采购预算</w:t>
            </w:r>
          </w:p>
        </w:tc>
        <w:tc>
          <w:tcPr>
            <w:tcW w:type="dxa" w:w="1661"/>
          </w:tcPr>
          <w:p>
            <w:pPr>
              <w:pStyle w:val="null3"/>
            </w:pPr>
            <w:r>
              <w:rPr>
                <w:rFonts w:ascii="仿宋_GB2312" w:hAnsi="仿宋_GB2312" w:cs="仿宋_GB2312" w:eastAsia="仿宋_GB2312"/>
              </w:rPr>
              <w:t>3.分项报价表.docx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服务期、付款方式</w:t>
            </w:r>
          </w:p>
        </w:tc>
        <w:tc>
          <w:tcPr>
            <w:tcW w:type="dxa" w:w="3322"/>
          </w:tcPr>
          <w:p>
            <w:pPr>
              <w:pStyle w:val="null3"/>
            </w:pPr>
            <w:r>
              <w:rPr>
                <w:rFonts w:ascii="仿宋_GB2312" w:hAnsi="仿宋_GB2312" w:cs="仿宋_GB2312" w:eastAsia="仿宋_GB2312"/>
              </w:rPr>
              <w:t>服务期、付款方式是否响应采购文件要求</w:t>
            </w:r>
          </w:p>
        </w:tc>
        <w:tc>
          <w:tcPr>
            <w:tcW w:type="dxa" w:w="1661"/>
          </w:tcPr>
          <w:p>
            <w:pPr>
              <w:pStyle w:val="null3"/>
            </w:pPr>
            <w:r>
              <w:rPr>
                <w:rFonts w:ascii="仿宋_GB2312" w:hAnsi="仿宋_GB2312" w:cs="仿宋_GB2312" w:eastAsia="仿宋_GB2312"/>
              </w:rPr>
              <w:t>5.商务应答表.docx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本项目服务内容结合项目具体情况提供项目理解及需求分析，至少包含：①项目需求和实施特点的理解、②文物项目相关法律法规理解、③项目前期准备工作等进行评审。描述准确，需求分析透彻，完全包含以上3项且符合项目实际情况，每一项内容描述准确、透彻、全面得12分，每缺少一项扣4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4.服务响应表.docx</w:t>
            </w:r>
          </w:p>
          <w:p>
            <w:pPr>
              <w:pStyle w:val="null3"/>
            </w:pPr>
            <w:r>
              <w:rPr>
                <w:rFonts w:ascii="仿宋_GB2312" w:hAnsi="仿宋_GB2312" w:cs="仿宋_GB2312" w:eastAsia="仿宋_GB2312"/>
              </w:rPr>
              <w:t>1.项目理解.docx</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供应商根据第三章服务内容要求逐项提供工作方案，工作方案至少包含①项目立项计划书评审、②项目技术方案评审、③施工组织评审、④竣工验收评估等。方案内容完整，完全包含以上4项且符合项目实际情况，每项工作方案内容描述准确、透彻、全面得20分，每缺少一项工作方案扣5分，每有一项工作方案内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4.服务响应表.docx</w:t>
            </w:r>
          </w:p>
          <w:p>
            <w:pPr>
              <w:pStyle w:val="null3"/>
            </w:pPr>
            <w:r>
              <w:rPr>
                <w:rFonts w:ascii="仿宋_GB2312" w:hAnsi="仿宋_GB2312" w:cs="仿宋_GB2312" w:eastAsia="仿宋_GB2312"/>
              </w:rPr>
              <w:t>2.工作方案.docx</w:t>
            </w:r>
          </w:p>
        </w:tc>
      </w:tr>
      <w:tr>
        <w:tc>
          <w:tcPr>
            <w:tcW w:type="dxa" w:w="831"/>
            <w:vMerge/>
          </w:tcPr>
          <w:p/>
        </w:tc>
        <w:tc>
          <w:tcPr>
            <w:tcW w:type="dxa" w:w="1661"/>
          </w:tcPr>
          <w:p>
            <w:pPr>
              <w:pStyle w:val="null3"/>
            </w:pPr>
            <w:r>
              <w:rPr>
                <w:rFonts w:ascii="仿宋_GB2312" w:hAnsi="仿宋_GB2312" w:cs="仿宋_GB2312" w:eastAsia="仿宋_GB2312"/>
              </w:rPr>
              <w:t>项目组织方式、工作机制，工作流程方案</w:t>
            </w:r>
          </w:p>
        </w:tc>
        <w:tc>
          <w:tcPr>
            <w:tcW w:type="dxa" w:w="2492"/>
          </w:tcPr>
          <w:p>
            <w:pPr>
              <w:pStyle w:val="null3"/>
            </w:pPr>
            <w:r>
              <w:rPr>
                <w:rFonts w:ascii="仿宋_GB2312" w:hAnsi="仿宋_GB2312" w:cs="仿宋_GB2312" w:eastAsia="仿宋_GB2312"/>
              </w:rPr>
              <w:t>根据项目服务内容及要求提供①组织方式、②工作机制、③工作流程等进行评审。方案完整，完全包含以上3项且满足实际工作需求，每一项内容描述详细内容全面得12分，每缺少一项扣4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3.项目组织方式、工作机制，工作流程方案.docx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供应商针对本项目提供的重点难点分析，包含但不限于①重点、难点问题罗列及原因、②重点、难点问题应对措施等进行评审：分析完整，完全包含以上2项且满足实际工作需求，每一项内容描述详细内容全面得6分，每缺少一项扣3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4.重点难点分析.docx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提供的应急预案，包含但不限于①紧急情况的罗列及原因、②紧急情况的应对措施等进行评审：分析完整，完全包含以上2项且满足实际工作需求，每一项内容描述详细内容全面得6分，每缺少一项扣3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5.应急预案.docx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 1、供应商拟派项目负责人具有中级（含）以上技术职称证书，计2分； 2、项目负责人在供应商单位2021年11月1日至今类似项目业绩合同，每提供一份计1分，满分3分。 备注：需提供项目负责人职称证、身份证；项目负责人业绩与企业业绩不重复计分且业绩需体现项目负责人姓名，未提供或虽提供但无法佐证的不计分。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6.项目负责人.docx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供应商提供针对本项目拟投入的项目团队人员(不含项目负责人)的情况说明及经验能力证明材料。 1、提供团队人员配备清单计2分； 2、清单能够列明人员信息、岗位职责、本行业工作年限、本单位为其缴纳近6个月任意一个月社保缴纳证明或劳务合同，每提供1位成员且信息完整计1分，最高计5分。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7.项目团队人员.docx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根据项目服务内容提供：①服务承诺、②合理化建议等。方案完全包含以上2项内容且满足实际工作需求，每一项内容描述详细内容全面得6分，每缺少一项扣3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8.服务承诺及合理化建议.docx</w:t>
            </w:r>
          </w:p>
        </w:tc>
      </w:tr>
      <w:tr>
        <w:tc>
          <w:tcPr>
            <w:tcW w:type="dxa" w:w="831"/>
            <w:vMerge/>
          </w:tcPr>
          <w:p/>
        </w:tc>
        <w:tc>
          <w:tcPr>
            <w:tcW w:type="dxa" w:w="1661"/>
          </w:tcPr>
          <w:p>
            <w:pPr>
              <w:pStyle w:val="null3"/>
            </w:pPr>
            <w:r>
              <w:rPr>
                <w:rFonts w:ascii="仿宋_GB2312" w:hAnsi="仿宋_GB2312" w:cs="仿宋_GB2312" w:eastAsia="仿宋_GB2312"/>
              </w:rPr>
              <w:t>安全管理及保密方案</w:t>
            </w:r>
          </w:p>
        </w:tc>
        <w:tc>
          <w:tcPr>
            <w:tcW w:type="dxa" w:w="2492"/>
          </w:tcPr>
          <w:p>
            <w:pPr>
              <w:pStyle w:val="null3"/>
            </w:pPr>
            <w:r>
              <w:rPr>
                <w:rFonts w:ascii="仿宋_GB2312" w:hAnsi="仿宋_GB2312" w:cs="仿宋_GB2312" w:eastAsia="仿宋_GB2312"/>
              </w:rPr>
              <w:t>供应商根据项目服务内容提供安全管理及保密方案，包含但不限于①保密方案、②安全管理方案；方案完全包含以上2项具体内容、方式且满足实际工作需求，每一项内容描述详细内容全面得6分，每缺少一项扣3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9.安全管理及保密方案.docx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供应商提供2022年11月1日（以签订日期为准）至今类似项目业绩合同，每份计2分，满分10分。 注：需提供完整项目合同扫描件，加盖公章。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详见附件：1.资格证明资料.docx</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详见附件：4.服务响应表.docx</w:t>
      </w:r>
    </w:p>
    <w:p>
      <w:pPr>
        <w:pStyle w:val="null3"/>
        <w:ind w:firstLine="960"/>
      </w:pPr>
      <w:r>
        <w:rPr>
          <w:rFonts w:ascii="仿宋_GB2312" w:hAnsi="仿宋_GB2312" w:cs="仿宋_GB2312" w:eastAsia="仿宋_GB2312"/>
        </w:rPr>
        <w:t>详见附件：5.商务应答表.docx</w:t>
      </w:r>
    </w:p>
    <w:p>
      <w:pPr>
        <w:pStyle w:val="null3"/>
        <w:ind w:firstLine="960"/>
      </w:pPr>
      <w:r>
        <w:rPr>
          <w:rFonts w:ascii="仿宋_GB2312" w:hAnsi="仿宋_GB2312" w:cs="仿宋_GB2312" w:eastAsia="仿宋_GB2312"/>
        </w:rPr>
        <w:t>详见附件：1.项目理解.docx</w:t>
      </w:r>
    </w:p>
    <w:p>
      <w:pPr>
        <w:pStyle w:val="null3"/>
        <w:ind w:firstLine="960"/>
      </w:pPr>
      <w:r>
        <w:rPr>
          <w:rFonts w:ascii="仿宋_GB2312" w:hAnsi="仿宋_GB2312" w:cs="仿宋_GB2312" w:eastAsia="仿宋_GB2312"/>
        </w:rPr>
        <w:t>详见附件：2.工作方案.docx</w:t>
      </w:r>
    </w:p>
    <w:p>
      <w:pPr>
        <w:pStyle w:val="null3"/>
        <w:ind w:firstLine="960"/>
      </w:pPr>
      <w:r>
        <w:rPr>
          <w:rFonts w:ascii="仿宋_GB2312" w:hAnsi="仿宋_GB2312" w:cs="仿宋_GB2312" w:eastAsia="仿宋_GB2312"/>
        </w:rPr>
        <w:t>详见附件：3.项目组织方式、工作机制，工作流程方案.docx</w:t>
      </w:r>
    </w:p>
    <w:p>
      <w:pPr>
        <w:pStyle w:val="null3"/>
        <w:ind w:firstLine="960"/>
      </w:pPr>
      <w:r>
        <w:rPr>
          <w:rFonts w:ascii="仿宋_GB2312" w:hAnsi="仿宋_GB2312" w:cs="仿宋_GB2312" w:eastAsia="仿宋_GB2312"/>
        </w:rPr>
        <w:t>详见附件：4.重点难点分析.docx</w:t>
      </w:r>
    </w:p>
    <w:p>
      <w:pPr>
        <w:pStyle w:val="null3"/>
        <w:ind w:firstLine="960"/>
      </w:pPr>
      <w:r>
        <w:rPr>
          <w:rFonts w:ascii="仿宋_GB2312" w:hAnsi="仿宋_GB2312" w:cs="仿宋_GB2312" w:eastAsia="仿宋_GB2312"/>
        </w:rPr>
        <w:t>详见附件：5.应急预案.docx</w:t>
      </w:r>
    </w:p>
    <w:p>
      <w:pPr>
        <w:pStyle w:val="null3"/>
        <w:ind w:firstLine="960"/>
      </w:pPr>
      <w:r>
        <w:rPr>
          <w:rFonts w:ascii="仿宋_GB2312" w:hAnsi="仿宋_GB2312" w:cs="仿宋_GB2312" w:eastAsia="仿宋_GB2312"/>
        </w:rPr>
        <w:t>详见附件：6.项目负责人.docx</w:t>
      </w:r>
    </w:p>
    <w:p>
      <w:pPr>
        <w:pStyle w:val="null3"/>
        <w:ind w:firstLine="960"/>
      </w:pPr>
      <w:r>
        <w:rPr>
          <w:rFonts w:ascii="仿宋_GB2312" w:hAnsi="仿宋_GB2312" w:cs="仿宋_GB2312" w:eastAsia="仿宋_GB2312"/>
        </w:rPr>
        <w:t>详见附件：7.项目团队人员.docx</w:t>
      </w:r>
    </w:p>
    <w:p>
      <w:pPr>
        <w:pStyle w:val="null3"/>
        <w:ind w:firstLine="960"/>
      </w:pPr>
      <w:r>
        <w:rPr>
          <w:rFonts w:ascii="仿宋_GB2312" w:hAnsi="仿宋_GB2312" w:cs="仿宋_GB2312" w:eastAsia="仿宋_GB2312"/>
        </w:rPr>
        <w:t>详见附件：8.服务承诺及合理化建议.docx</w:t>
      </w:r>
    </w:p>
    <w:p>
      <w:pPr>
        <w:pStyle w:val="null3"/>
        <w:ind w:firstLine="960"/>
      </w:pPr>
      <w:r>
        <w:rPr>
          <w:rFonts w:ascii="仿宋_GB2312" w:hAnsi="仿宋_GB2312" w:cs="仿宋_GB2312" w:eastAsia="仿宋_GB2312"/>
        </w:rPr>
        <w:t>详见附件：9.安全管理及保密方案.docx</w:t>
      </w:r>
    </w:p>
    <w:p>
      <w:pPr>
        <w:pStyle w:val="null3"/>
        <w:ind w:firstLine="960"/>
      </w:pPr>
      <w:r>
        <w:rPr>
          <w:rFonts w:ascii="仿宋_GB2312" w:hAnsi="仿宋_GB2312" w:cs="仿宋_GB2312" w:eastAsia="仿宋_GB2312"/>
        </w:rPr>
        <w:t>详见附件：10.业绩.docx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