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版本号：LZBE2025-187020251118001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多频点反射信号遥感系统与北斗融合创新开发系统采购项目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LZBE2025-1870</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多频点反射信号遥感系统与北斗融合创新开发系统采购项目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LZBE2025-1870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多频点反射信号遥感系统与北斗融合创新开发系统采购项目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多频点反射信号遥感系统与北斗融合创新开发系统采购项目，具体内容详见招标文件第三章。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4、参加本次政府采购活动前3年内在经营活动中没有重大违法记录的书面声明：投标人须提供参加本次政府采购活动前3年内在经营活动中没有重大违法记录的书面声明并进行电子签章。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5、具有履行合同所必需的设备和专业技术能力书面声明函：投标人须提供具有履行合同所必需的设备和专业技术能力书面声明函并进行电子签章。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银行账号：30201278017795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说明：（1）履约保证金缴纳时间：中标后10日内需要缴纳履约保证金。未在规定时间内缴纳履约保证金视为拒签合同，自动放弃中标资格。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代理服务费用收取对象：中标/中标人 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多频点反射信号遥感系统与北斗融合创新开发系统项目，旨在通过引进先进硬件设备与软件平台，构建集教学、科研与服务地方经济于一体的智能化实验环境。主要购置设备包括多频点反射信号遥感系统、北斗导航采集回放仪、北斗RTK测量系统、北斗导航信号模拟器（教育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多频点反射信号遥感系统与北斗融合创新开发系统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标的名称：多频点反射信号遥感系统与北斗融合创新开发系统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一、分项报价设备清单</w:t>
            </w:r>
          </w:p>
          <w:tbl>
            <w:tblPr>
              <w:tblBorders>
                <w:top w:val="none" w:color="000000" w:sz="4"/>
                <w:left w:val="none" w:color="000000" w:sz="4"/>
                <w:bottom w:val="none" w:color="000000" w:sz="4"/>
                <w:right w:val="none" w:color="000000" w:sz="4"/>
                <w:insideH w:val="none"/>
                <w:insideV w:val="none"/>
              </w:tblBorders>
            </w:tblPr>
            <w:tblGrid>
              <w:gridCol w:w="483"/>
              <w:gridCol w:w="1501"/>
              <w:gridCol w:w="569"/>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序号</w:t>
                  </w:r>
                </w:p>
              </w:tc>
              <w:tc>
                <w:tcPr>
                  <w:tcW w:type="dxa" w:w="1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标的名称</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b/>
                    </w:rPr>
                    <w:t>数量</w:t>
                  </w:r>
                  <w:r>
                    <w:rPr>
                      <w:rFonts w:ascii="仿宋_GB2312" w:hAnsi="仿宋_GB2312" w:cs="仿宋_GB2312" w:eastAsia="仿宋_GB2312"/>
                      <w:sz w:val="19"/>
                      <w:b/>
                    </w:rPr>
                    <w:t>/单位</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1</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多频点反射信号遥感系统</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2</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北斗导航采集回放仪</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3</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北斗</w:t>
                  </w:r>
                  <w:r>
                    <w:rPr>
                      <w:rFonts w:ascii="仿宋_GB2312" w:hAnsi="仿宋_GB2312" w:cs="仿宋_GB2312" w:eastAsia="仿宋_GB2312"/>
                      <w:sz w:val="19"/>
                    </w:rPr>
                    <w:t>RTK测量系统</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9"/>
                    </w:rPr>
                    <w:t>4</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9"/>
                    </w:rPr>
                    <w:t>北斗导航信号模拟器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1套</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技术参数</w:t>
            </w:r>
          </w:p>
          <w:tbl>
            <w:tblPr>
              <w:tblBorders>
                <w:top w:val="none" w:color="000000" w:sz="4"/>
                <w:left w:val="none" w:color="000000" w:sz="4"/>
                <w:bottom w:val="none" w:color="000000" w:sz="4"/>
                <w:right w:val="none" w:color="000000" w:sz="4"/>
                <w:insideH w:val="none"/>
                <w:insideV w:val="none"/>
              </w:tblBorders>
            </w:tblPr>
            <w:tblGrid>
              <w:gridCol w:w="203"/>
              <w:gridCol w:w="271"/>
              <w:gridCol w:w="1831"/>
              <w:gridCol w:w="24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采购项</w:t>
                  </w:r>
                </w:p>
              </w:tc>
              <w:tc>
                <w:tcPr>
                  <w:tcW w:type="dxa" w:w="1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技术参数与性能指标、服务要求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/单位</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多频点反射信号遥感系统</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一、系统性能指标</w:t>
                  </w:r>
                </w:p>
                <w:p>
                  <w:pPr>
                    <w:pStyle w:val="null3"/>
                    <w:spacing w:before="105" w:after="105"/>
                    <w:jc w:val="both"/>
                  </w:pPr>
                  <w:r>
                    <w:rPr>
                      <w:rFonts w:ascii="仿宋_GB2312" w:hAnsi="仿宋_GB2312" w:cs="仿宋_GB2312" w:eastAsia="仿宋_GB2312"/>
                      <w:sz w:val="21"/>
                      <w:color w:val="000000"/>
                    </w:rPr>
                    <w:t>(1)具有GPSL1，L5，BDB1C，B2a直反射信号的中频处理功能;</w:t>
                  </w:r>
                </w:p>
                <w:p>
                  <w:pPr>
                    <w:pStyle w:val="null3"/>
                    <w:spacing w:before="105" w:after="105"/>
                    <w:jc w:val="left"/>
                  </w:pPr>
                  <w:r>
                    <w:rPr>
                      <w:rFonts w:ascii="仿宋_GB2312" w:hAnsi="仿宋_GB2312" w:cs="仿宋_GB2312" w:eastAsia="仿宋_GB2312"/>
                      <w:sz w:val="21"/>
                      <w:color w:val="000000"/>
                    </w:rPr>
                    <w:t>(2)具有GNSS反射测量实际观测输出功能；</w:t>
                  </w:r>
                </w:p>
                <w:p>
                  <w:pPr>
                    <w:pStyle w:val="null3"/>
                    <w:spacing w:before="105" w:after="105"/>
                    <w:jc w:val="left"/>
                  </w:pPr>
                  <w:r>
                    <w:rPr>
                      <w:rFonts w:ascii="仿宋_GB2312" w:hAnsi="仿宋_GB2312" w:cs="仿宋_GB2312" w:eastAsia="仿宋_GB2312"/>
                      <w:sz w:val="21"/>
                      <w:color w:val="000000"/>
                    </w:rPr>
                    <w:t>(3)支持多通道同步采集功能；</w:t>
                  </w:r>
                </w:p>
                <w:p>
                  <w:pPr>
                    <w:pStyle w:val="null3"/>
                    <w:spacing w:before="105" w:after="105"/>
                    <w:jc w:val="left"/>
                  </w:pPr>
                  <w:r>
                    <w:rPr>
                      <w:rFonts w:ascii="仿宋_GB2312" w:hAnsi="仿宋_GB2312" w:cs="仿宋_GB2312" w:eastAsia="仿宋_GB2312"/>
                      <w:sz w:val="21"/>
                      <w:color w:val="000000"/>
                    </w:rPr>
                    <w:t>(4)具有地表物理参数反演模块，包含但不限于陆面土壤参数、海洋（水面、水位、海风海浪）参数等；</w:t>
                  </w:r>
                </w:p>
                <w:p>
                  <w:pPr>
                    <w:pStyle w:val="null3"/>
                    <w:spacing w:before="105" w:after="105"/>
                    <w:jc w:val="left"/>
                  </w:pPr>
                  <w:r>
                    <w:rPr>
                      <w:rFonts w:ascii="仿宋_GB2312" w:hAnsi="仿宋_GB2312" w:cs="仿宋_GB2312" w:eastAsia="仿宋_GB2312"/>
                      <w:sz w:val="21"/>
                      <w:color w:val="000000"/>
                    </w:rPr>
                    <w:t>二、技术参数</w:t>
                  </w:r>
                </w:p>
                <w:p>
                  <w:pPr>
                    <w:pStyle w:val="null3"/>
                    <w:spacing w:before="105" w:after="105"/>
                    <w:jc w:val="left"/>
                  </w:pPr>
                  <w:r>
                    <w:rPr>
                      <w:rFonts w:ascii="仿宋_GB2312" w:hAnsi="仿宋_GB2312" w:cs="仿宋_GB2312" w:eastAsia="仿宋_GB2312"/>
                      <w:sz w:val="21"/>
                      <w:color w:val="000000"/>
                    </w:rPr>
                    <w:t>1.反射信号采集处理模块</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▲（5）接收直射和反射信号频点应至少包含GPSL1，L5，BDB1C，B2a等；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6）DDR3及以上缓存容量≥512MB;</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7）TCXO频率:10MHz~26MHz;</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8）采样位数:默认共双射频 I/Q支路，≥4个支路，每个支路 2bit/4bit;</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9）采样速率:16.368MHz或26MHz。通过射频设置可支持多种采样率，至少包括x2,x3,X4,x5，x6 的采样率;</w:t>
                  </w:r>
                </w:p>
                <w:p>
                  <w:pPr>
                    <w:pStyle w:val="null3"/>
                    <w:spacing w:before="105" w:after="105"/>
                    <w:jc w:val="left"/>
                  </w:pPr>
                  <w:r>
                    <w:rPr>
                      <w:rFonts w:ascii="仿宋_GB2312" w:hAnsi="仿宋_GB2312" w:cs="仿宋_GB2312" w:eastAsia="仿宋_GB2312"/>
                      <w:sz w:val="21"/>
                      <w:color w:val="000000"/>
                    </w:rPr>
                    <w:t>▲（10）具备采集至少包含GPSL1，L5，B1C，B2a频点的原始数字中频数据功能；</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11）中频采样位数应至少支持共双射频 I/Q支路，每个支路 2bit/4bit；对外接口:射频:SMA≥4，2.5~5V馈电;输入时钟:SMA接口;</w:t>
                  </w:r>
                </w:p>
                <w:p>
                  <w:pPr>
                    <w:pStyle w:val="null3"/>
                    <w:spacing w:before="105" w:after="105"/>
                    <w:jc w:val="left"/>
                  </w:pPr>
                  <w:r>
                    <w:rPr>
                      <w:rFonts w:ascii="仿宋_GB2312" w:hAnsi="仿宋_GB2312" w:cs="仿宋_GB2312" w:eastAsia="仿宋_GB2312"/>
                      <w:sz w:val="21"/>
                      <w:color w:val="000000"/>
                    </w:rPr>
                    <w:t>2.直射信号接收模块：</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12）接收增益≥3dB；极化方式：RHCP右旋圆极化；</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13）输出阻抗：50Ω；输出驻波比：≤2；</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14）噪声系数：≤1.5dB；</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15）工作电压：+3.3V~15V；工作电流：≤50mA；</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16）接头方式：TNC-K；</w:t>
                  </w:r>
                </w:p>
                <w:p>
                  <w:pPr>
                    <w:pStyle w:val="null3"/>
                    <w:spacing w:before="105" w:after="105"/>
                    <w:jc w:val="left"/>
                  </w:pPr>
                  <w:r>
                    <w:rPr>
                      <w:rFonts w:ascii="仿宋_GB2312" w:hAnsi="仿宋_GB2312" w:cs="仿宋_GB2312" w:eastAsia="仿宋_GB2312"/>
                      <w:sz w:val="21"/>
                      <w:color w:val="000000"/>
                    </w:rPr>
                    <w:t>反射信号接收模块</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17）接收增益≥12dB；极化方式：LHCP左旋圆极化；</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18）轴比典型值：≤1.0；</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19）输出驻波比：≤2；噪声系数：≤1.5dB；</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20）工作电压：+3.3V~15V；工作电流：≤50mA；</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21）接头方式：TNC；</w:t>
                  </w:r>
                </w:p>
                <w:p>
                  <w:pPr>
                    <w:pStyle w:val="null3"/>
                    <w:spacing w:before="105" w:after="105"/>
                    <w:jc w:val="left"/>
                  </w:pPr>
                  <w:r>
                    <w:rPr>
                      <w:rFonts w:ascii="仿宋_GB2312" w:hAnsi="仿宋_GB2312" w:cs="仿宋_GB2312" w:eastAsia="仿宋_GB2312"/>
                      <w:sz w:val="21"/>
                      <w:color w:val="000000"/>
                    </w:rPr>
                    <w:t>3.反演工作模块：</w:t>
                  </w:r>
                </w:p>
                <w:p>
                  <w:pPr>
                    <w:pStyle w:val="null3"/>
                    <w:spacing w:before="105" w:after="105"/>
                    <w:jc w:val="left"/>
                  </w:pPr>
                  <w:r>
                    <w:rPr>
                      <w:rFonts w:ascii="仿宋_GB2312" w:hAnsi="仿宋_GB2312" w:cs="仿宋_GB2312" w:eastAsia="仿宋_GB2312"/>
                      <w:sz w:val="21"/>
                      <w:color w:val="000000"/>
                    </w:rPr>
                    <w:t>▲（22）陆面土壤参数测量准确度：≤10%(0.1cm³/cm³ )；</w:t>
                  </w:r>
                </w:p>
                <w:p>
                  <w:pPr>
                    <w:pStyle w:val="null3"/>
                    <w:spacing w:before="105" w:after="105"/>
                    <w:jc w:val="left"/>
                  </w:pPr>
                  <w:r>
                    <w:rPr>
                      <w:rFonts w:ascii="仿宋_GB2312" w:hAnsi="仿宋_GB2312" w:cs="仿宋_GB2312" w:eastAsia="仿宋_GB2312"/>
                      <w:sz w:val="21"/>
                      <w:color w:val="000000"/>
                    </w:rPr>
                    <w:t>▲（23）陆面土壤参数有效探测深度≥5 cm；</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24）显示屏尺寸：15.6英寸及以上；</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25）处理器：12代i7及以上；DDR4内存；≥16G；</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26）支持USB接口：协议版本3.0；支持4G及以上通讯；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27）实验内容：多径信号特征观测实验；BDS反射信号相位和幅度变化的实验分析;</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北斗导航采集回放仪【核心产品】</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一、设备包括但不限于以下系统性能：</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28）具备采集BDS/GPS/GLONASS/GALILEO等各大导航系统卫星导航信号能力，并可将采集的信号以文件记录形式存储在设备内部，采集通道对应的采集频段可控；</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29）具备回放设备存储的卫星导航信号记录的能力，支持单次、指定次数回放功能，回放功率可控制。</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30）具备对设备内处理的卫星导航信号进行闭环监测的能力，可输出频点、可见星、载噪比等信息；</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31）具备对存储的卫星导航信号记录导入导出功能，可通过网口或者硬盘拆卸模式实现PC机与设备之间数据交互。支持航插接口采集串口数据。</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32）具备时钟同步功能，可实现多台设备同步采集、回放功能；</w:t>
                  </w:r>
                </w:p>
                <w:p>
                  <w:pPr>
                    <w:pStyle w:val="null3"/>
                    <w:spacing w:before="105" w:after="105"/>
                    <w:jc w:val="left"/>
                  </w:pPr>
                  <w:r>
                    <w:rPr>
                      <w:rFonts w:ascii="仿宋_GB2312" w:hAnsi="仿宋_GB2312" w:cs="仿宋_GB2312" w:eastAsia="仿宋_GB2312"/>
                      <w:sz w:val="21"/>
                      <w:color w:val="000000"/>
                    </w:rPr>
                    <w:t>▲（33）具备人机交互功能。支持触摸屏及远程两种方式对设备进行控制。</w:t>
                  </w:r>
                </w:p>
                <w:p>
                  <w:pPr>
                    <w:pStyle w:val="null3"/>
                    <w:spacing w:before="105" w:after="105"/>
                    <w:jc w:val="left"/>
                  </w:pPr>
                  <w:r>
                    <w:rPr>
                      <w:rFonts w:ascii="仿宋_GB2312" w:hAnsi="仿宋_GB2312" w:cs="仿宋_GB2312" w:eastAsia="仿宋_GB2312"/>
                      <w:sz w:val="21"/>
                      <w:color w:val="000000"/>
                    </w:rPr>
                    <w:t>二、技术参数</w:t>
                  </w:r>
                </w:p>
                <w:p>
                  <w:pPr>
                    <w:pStyle w:val="null3"/>
                    <w:spacing w:before="105" w:after="105"/>
                    <w:jc w:val="left"/>
                  </w:pPr>
                  <w:r>
                    <w:rPr>
                      <w:rFonts w:ascii="仿宋_GB2312" w:hAnsi="仿宋_GB2312" w:cs="仿宋_GB2312" w:eastAsia="仿宋_GB2312"/>
                      <w:sz w:val="21"/>
                      <w:color w:val="000000"/>
                    </w:rPr>
                    <w:t>1.采集回放</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34）支持导航系统包括但不限于：BDS、GPS、GLONASS、GALILEO；</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35）采集频点包括但不限于：BDS：B1I、B1C、B2I、B2a、B2b；GPS：L1、L1C、L1P、L2C、L2P；GALILEO：E1、E5A、E5B；GLONASS：L1、L2、L3。</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36）量化位数至少包含：2bit、4bit；</w:t>
                  </w:r>
                </w:p>
                <w:p>
                  <w:pPr>
                    <w:pStyle w:val="null3"/>
                    <w:spacing w:before="105" w:after="105"/>
                    <w:jc w:val="left"/>
                  </w:pPr>
                  <w:r>
                    <w:rPr>
                      <w:rFonts w:ascii="仿宋_GB2312" w:hAnsi="仿宋_GB2312" w:cs="仿宋_GB2312" w:eastAsia="仿宋_GB2312"/>
                      <w:sz w:val="21"/>
                      <w:color w:val="000000"/>
                    </w:rPr>
                    <w:t>▲（37）采样频率≥60 MSPS；录制/播发带宽：≤60 MHz；</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38）相位噪声：-70dBc/Hz@100Hz 至 -95dBc/Hz@100kHz；</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39）无杂散动态：≥40 dB；</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40）数据存储：在最大采集通道数，最高采样率与最大量化位数设置条件下，采集回放的最大记录时间不小于2小时；</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41）射频输出口输出功率：-30dBm ~ -90dBm；功率控制分辨率≤1 dB。</w:t>
                  </w:r>
                </w:p>
                <w:p>
                  <w:pPr>
                    <w:pStyle w:val="null3"/>
                    <w:spacing w:before="105" w:after="105"/>
                    <w:jc w:val="left"/>
                  </w:pPr>
                  <w:r>
                    <w:rPr>
                      <w:rFonts w:ascii="仿宋_GB2312" w:hAnsi="仿宋_GB2312" w:cs="仿宋_GB2312" w:eastAsia="仿宋_GB2312"/>
                      <w:sz w:val="21"/>
                      <w:color w:val="000000"/>
                    </w:rPr>
                    <w:t>2.闭环监测</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42）支持频点包含但不限于：GPS L1C/A, GLONASS L1, BeiDou B1I, Galileo E1;</w:t>
                  </w:r>
                </w:p>
                <w:p>
                  <w:pPr>
                    <w:pStyle w:val="null3"/>
                    <w:spacing w:before="105" w:after="105"/>
                    <w:jc w:val="left"/>
                  </w:pPr>
                  <w:r>
                    <w:rPr>
                      <w:rFonts w:ascii="仿宋_GB2312" w:hAnsi="仿宋_GB2312" w:cs="仿宋_GB2312" w:eastAsia="仿宋_GB2312"/>
                      <w:sz w:val="21"/>
                      <w:color w:val="000000"/>
                    </w:rPr>
                    <w:t>▲（43）输出信息至少包含频点、可见星、载噪比等信息。</w:t>
                  </w:r>
                </w:p>
                <w:p>
                  <w:pPr>
                    <w:pStyle w:val="null3"/>
                    <w:spacing w:before="105" w:after="105"/>
                    <w:jc w:val="left"/>
                  </w:pPr>
                  <w:r>
                    <w:rPr>
                      <w:rFonts w:ascii="仿宋_GB2312" w:hAnsi="仿宋_GB2312" w:cs="仿宋_GB2312" w:eastAsia="仿宋_GB2312"/>
                      <w:sz w:val="21"/>
                      <w:color w:val="000000"/>
                    </w:rPr>
                    <w:t>3.接口</w:t>
                  </w:r>
                </w:p>
                <w:p>
                  <w:pPr>
                    <w:pStyle w:val="null3"/>
                    <w:spacing w:before="105" w:after="105"/>
                    <w:jc w:val="left"/>
                  </w:pPr>
                  <w:r>
                    <w:rPr>
                      <w:rFonts w:ascii="仿宋_GB2312" w:hAnsi="仿宋_GB2312" w:cs="仿宋_GB2312" w:eastAsia="仿宋_GB2312"/>
                      <w:sz w:val="21"/>
                      <w:color w:val="000000"/>
                    </w:rPr>
                    <w:t>▲（44）供电接口：Type-C，支持快充，配备充电电池；</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45）通信接口至少包含但不限于：以太网接口≥1个；</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46）射频信号输入口≥1个；射频信号输出口≥1个；</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47）10MHz时钟输入接口≥1个；10MHz时钟输出接口≥1个；</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48）触发信号输入接口≥1个；触发信号输出接口≥1个；</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49）重量≤4kg（不含配件、线缆及包装箱）。</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北斗</w:t>
                  </w:r>
                  <w:r>
                    <w:rPr>
                      <w:rFonts w:ascii="仿宋_GB2312" w:hAnsi="仿宋_GB2312" w:cs="仿宋_GB2312" w:eastAsia="仿宋_GB2312"/>
                      <w:sz w:val="21"/>
                      <w:color w:val="000000"/>
                    </w:rPr>
                    <w:t>RTK测量系统</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一、系统性能参数</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50）采用双定位方式：GNSS卫星导航定位+IMU惯性导航双重组合定位；</w:t>
                  </w:r>
                </w:p>
                <w:p>
                  <w:pPr>
                    <w:pStyle w:val="null3"/>
                    <w:spacing w:before="105" w:after="105"/>
                    <w:jc w:val="both"/>
                  </w:pPr>
                  <w:r>
                    <w:rPr>
                      <w:rFonts w:ascii="仿宋_GB2312" w:hAnsi="仿宋_GB2312" w:cs="仿宋_GB2312" w:eastAsia="仿宋_GB2312"/>
                      <w:sz w:val="21"/>
                      <w:color w:val="000000"/>
                    </w:rPr>
                    <w:t>▲（51）静态数据格式包括但不限于：STH、RINEX；内置电台工作频率410~470MHz，支持包括但不限于Farlink/</w:t>
                  </w:r>
                  <w:r>
                    <w:rPr>
                      <w:rFonts w:ascii="仿宋_GB2312" w:hAnsi="仿宋_GB2312" w:cs="仿宋_GB2312" w:eastAsia="仿宋_GB2312"/>
                      <w:sz w:val="24"/>
                    </w:rPr>
                    <w:t xml:space="preserve"> </w:t>
                  </w:r>
                  <w:r>
                    <w:rPr>
                      <w:rFonts w:ascii="仿宋_GB2312" w:hAnsi="仿宋_GB2312" w:cs="仿宋_GB2312" w:eastAsia="仿宋_GB2312"/>
                      <w:sz w:val="21"/>
                      <w:color w:val="000000"/>
                    </w:rPr>
                    <w:t>Farlinkpro等通讯协议；</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52）支持WiFi数据链功能，接收机可接入WIFI，通过WIFI进行差分数据播发或接收；</w:t>
                  </w:r>
                </w:p>
                <w:p>
                  <w:pPr>
                    <w:pStyle w:val="null3"/>
                    <w:spacing w:before="105" w:after="105"/>
                    <w:jc w:val="left"/>
                  </w:pPr>
                  <w:r>
                    <w:rPr>
                      <w:rFonts w:ascii="仿宋_GB2312" w:hAnsi="仿宋_GB2312" w:cs="仿宋_GB2312" w:eastAsia="仿宋_GB2312"/>
                      <w:sz w:val="21"/>
                      <w:color w:val="000000"/>
                    </w:rPr>
                    <w:t>▲（53）提供数据双备份功能：外业测量数据一方面可以存储在手簿里面，同时也会存在主机里面，多重备份，ROM内存≥4G；</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54）数据下载方式包括但不限于：USB3.0数据下载；HTTP下载；</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55）内置WebUI网络用户管理后台，支持WIFI和USB等多种模式访问接收机内置的Web管理页面，实时监控主机状态，自由配置主机。</w:t>
                  </w:r>
                </w:p>
                <w:p>
                  <w:pPr>
                    <w:pStyle w:val="null3"/>
                    <w:spacing w:before="105" w:after="105"/>
                    <w:jc w:val="left"/>
                  </w:pPr>
                  <w:r>
                    <w:rPr>
                      <w:rFonts w:ascii="仿宋_GB2312" w:hAnsi="仿宋_GB2312" w:cs="仿宋_GB2312" w:eastAsia="仿宋_GB2312"/>
                      <w:sz w:val="21"/>
                      <w:color w:val="000000"/>
                    </w:rPr>
                    <w:t>提供地形地籍成图软件</w:t>
                  </w:r>
                  <w:r>
                    <w:rPr>
                      <w:rFonts w:ascii="仿宋_GB2312" w:hAnsi="仿宋_GB2312" w:cs="仿宋_GB2312" w:eastAsia="仿宋_GB2312"/>
                      <w:sz w:val="21"/>
                      <w:color w:val="000000"/>
                    </w:rPr>
                    <w:t>1份：</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56）基础功能：具备多种测量数据处理方法和工具，包括前方交会、后方交会等多种交会方式，属性编辑、导线平差、原始坐标格式转换、坐标换带等；能够根据测量数据进行地形信息的呈现、处理；采用拓扑结构 DTM，增删顶点能自动重新组网，可自动生成等高线支持地形三维模型呈现及坡度分析；具有地物信息（长度、距离、方位、面积等）的查询、统计等功能；支持通过图面内容生成各类数据文件;</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57）数据接口支持蓝牙传输野外采集数据；支持dat、txt、csv、xls、xlsx多种坐标文件格式；具备读取智能全站仪外业gpkg数据直接成图功能；读取云平台工程数据成图；读取*.cas/*.kol格式交换文件成图；对野外测量数据进行展点处理成图；支持输出*.txt格式的奥维地图经纬度坐标和直角坐标文件;</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58）具备地形成图功能，提供标准绘图、快速绘图、自动绘图等方式，支持通过简码识别、编码引导、源码识别等方式实现高效绘图等功能;</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59）测量平差功能，支持导线控制测量数据自动录入、概算、平差并输出平差报告和控制点成果坐标文件；支持输入控制测量数据的坐标、高程、差值等自动计算,并辅以网图动态显示，自动求解控制网各种路线闭合差并进行误差分析;</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60）数据加载功能；支持导入导出谷歌地球KML文件；支持加载DOM、DEM数据合成DSM；支持多窗口同时加载多个三维模型，联动同步显示；支持同步加载、浏览多源数据，包括点云、倾斜模型、TIF模型、影像数据等。</w:t>
                  </w:r>
                </w:p>
                <w:p>
                  <w:pPr>
                    <w:pStyle w:val="null3"/>
                    <w:spacing w:before="105" w:after="105"/>
                    <w:jc w:val="left"/>
                  </w:pPr>
                  <w:r>
                    <w:rPr>
                      <w:rFonts w:ascii="仿宋_GB2312" w:hAnsi="仿宋_GB2312" w:cs="仿宋_GB2312" w:eastAsia="仿宋_GB2312"/>
                      <w:sz w:val="21"/>
                      <w:color w:val="000000"/>
                    </w:rPr>
                    <w:t>二、技术参数</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61）支持系统至少包含但不限于（GPS/BDS/GLONASS/Galileo/QZSS），支持北斗三代；</w:t>
                  </w:r>
                </w:p>
                <w:p>
                  <w:pPr>
                    <w:pStyle w:val="null3"/>
                    <w:spacing w:before="105" w:after="10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62）卫星跟踪:BDS：B1I,B2I,B3I,B1C,B2a,B2b*；</w:t>
                  </w:r>
                </w:p>
                <w:p>
                  <w:pPr>
                    <w:pStyle w:val="null3"/>
                    <w:spacing w:before="105" w:after="105"/>
                    <w:jc w:val="both"/>
                  </w:pPr>
                  <w:r>
                    <w:rPr>
                      <w:rFonts w:ascii="仿宋_GB2312" w:hAnsi="仿宋_GB2312" w:cs="仿宋_GB2312" w:eastAsia="仿宋_GB2312"/>
                      <w:sz w:val="21"/>
                      <w:color w:val="000000"/>
                    </w:rPr>
                    <w:t>GPS：L1C/A,L1C,L2C,L2P,L5；GLONASS：G1,G2,G3；</w:t>
                  </w:r>
                </w:p>
                <w:p>
                  <w:pPr>
                    <w:pStyle w:val="null3"/>
                    <w:spacing w:before="105" w:after="105"/>
                    <w:jc w:val="both"/>
                  </w:pPr>
                  <w:r>
                    <w:rPr>
                      <w:rFonts w:ascii="仿宋_GB2312" w:hAnsi="仿宋_GB2312" w:cs="仿宋_GB2312" w:eastAsia="仿宋_GB2312"/>
                      <w:sz w:val="21"/>
                      <w:color w:val="000000"/>
                    </w:rPr>
                    <w:t>Galileo：E1,E5a,E5b,E6*；QZSS：L1C/A,L1C,L2C,L5；</w:t>
                  </w:r>
                </w:p>
                <w:p>
                  <w:pPr>
                    <w:pStyle w:val="null3"/>
                    <w:spacing w:before="105" w:after="105"/>
                    <w:jc w:val="both"/>
                  </w:pPr>
                  <w:r>
                    <w:rPr>
                      <w:rFonts w:ascii="仿宋_GB2312" w:hAnsi="仿宋_GB2312" w:cs="仿宋_GB2312" w:eastAsia="仿宋_GB2312"/>
                      <w:sz w:val="21"/>
                      <w:color w:val="000000"/>
                    </w:rPr>
                    <w:t>IRNSS：L5*SBAS：L1C/A*</w:t>
                  </w:r>
                </w:p>
                <w:p>
                  <w:pPr>
                    <w:pStyle w:val="null3"/>
                    <w:spacing w:before="105" w:after="105"/>
                    <w:jc w:val="left"/>
                  </w:pPr>
                  <w:r>
                    <w:rPr>
                      <w:rFonts w:ascii="仿宋_GB2312" w:hAnsi="仿宋_GB2312" w:cs="仿宋_GB2312" w:eastAsia="仿宋_GB2312"/>
                      <w:sz w:val="21"/>
                      <w:color w:val="000000"/>
                    </w:rPr>
                    <w:t>▲（63）通道数：≥1500；</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64）精度:RTK：平面±(8mm+1×10⁻⁶D)，高程±(15mm+1×10⁻⁶D)；静态：平面±(2.5mm+0.5×10⁻⁶D)，高程±(5mm+0.5×10⁻⁶D)；</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65）倾斜测量范围及精度：支持0~60°范围内任意倾斜角度测量，精度≤8mm + 0.3mm/°tilt；</w:t>
                  </w:r>
                </w:p>
                <w:p>
                  <w:pPr>
                    <w:pStyle w:val="null3"/>
                    <w:spacing w:before="105" w:after="105"/>
                    <w:jc w:val="left"/>
                  </w:pPr>
                  <w:r>
                    <w:rPr>
                      <w:rFonts w:ascii="仿宋_GB2312" w:hAnsi="仿宋_GB2312" w:cs="仿宋_GB2312" w:eastAsia="仿宋_GB2312"/>
                      <w:sz w:val="21"/>
                      <w:color w:val="000000"/>
                    </w:rPr>
                    <w:t>电气接口</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▲（66）内置锂电池≥5000mAh；≥30w快充；支持type-C外接电源供电，重量：≤700g（含电池）；</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67）数据通讯接口：外置UHF天线接口≥1；TypeC接口≥1；支持充电，供电，数据下载;</w:t>
                  </w:r>
                </w:p>
                <w:p>
                  <w:pPr>
                    <w:pStyle w:val="null3"/>
                    <w:spacing w:before="105" w:after="105"/>
                    <w:jc w:val="left"/>
                  </w:pPr>
                  <w:r>
                    <w:rPr>
                      <w:rFonts w:ascii="仿宋_GB2312" w:hAnsi="仿宋_GB2312" w:cs="仿宋_GB2312" w:eastAsia="仿宋_GB2312"/>
                      <w:sz w:val="21"/>
                      <w:color w:val="000000"/>
                    </w:rPr>
                    <w:t>(68)其他：CORS账号1个，使用时长≥1年;</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北斗导航信号模拟器</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一、系统性能指标</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69）具备星座仿真功能，能够完成BDS和GPS等全球卫星导航星座的卫星轨道仿真、卫星钟差仿真等；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70）具备导航电文及观测数据仿真功能，可仿真生成对应于目标载体的观测数据和导航电文，并可模拟载体运动过程中卫星信号强度等；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71）具备轨迹仿真功能，能够模拟初始状态持续、伪距固定、圆周运动、汽车行驶轨迹等动态的运动特性；</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72）具备传播环境仿真功能，能够模拟导航信号在大气传播中多种误差源对导航信号的影响，包括电离层参数、对流层参数等；</w:t>
                  </w:r>
                </w:p>
                <w:p>
                  <w:pPr>
                    <w:pStyle w:val="null3"/>
                    <w:spacing w:before="105" w:after="105"/>
                    <w:jc w:val="left"/>
                  </w:pPr>
                  <w:r>
                    <w:rPr>
                      <w:rFonts w:ascii="仿宋_GB2312" w:hAnsi="仿宋_GB2312" w:cs="仿宋_GB2312" w:eastAsia="仿宋_GB2312"/>
                      <w:sz w:val="21"/>
                      <w:color w:val="000000"/>
                    </w:rPr>
                    <w:t>▲（73）具备仿真控制功能，可对仿真模型各类参数进行配置与实时控制，具备浏览器登录模拟器功能，支持无线网络远程访问；</w:t>
                  </w:r>
                </w:p>
                <w:p>
                  <w:pPr>
                    <w:pStyle w:val="null3"/>
                    <w:spacing w:before="105" w:after="105"/>
                    <w:jc w:val="left"/>
                  </w:pPr>
                  <w:r>
                    <w:rPr>
                      <w:rFonts w:ascii="仿宋_GB2312" w:hAnsi="仿宋_GB2312" w:cs="仿宋_GB2312" w:eastAsia="仿宋_GB2312"/>
                      <w:sz w:val="21"/>
                      <w:color w:val="000000"/>
                    </w:rPr>
                    <w:t>▲（74）具备状态监测功能，设备运行状态、载体轨迹、星空图等支持实时查看功能，支持多用户同时实时监测。</w:t>
                  </w:r>
                </w:p>
                <w:p>
                  <w:pPr>
                    <w:pStyle w:val="null3"/>
                    <w:spacing w:before="105" w:after="105"/>
                    <w:jc w:val="left"/>
                  </w:pPr>
                  <w:r>
                    <w:rPr>
                      <w:rFonts w:ascii="仿宋_GB2312" w:hAnsi="仿宋_GB2312" w:cs="仿宋_GB2312" w:eastAsia="仿宋_GB2312"/>
                      <w:sz w:val="21"/>
                      <w:color w:val="000000"/>
                    </w:rPr>
                    <w:t>二、技术参数</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75）工作频点：BDS-B1，GPS-L1，并行输出；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76）通道数：每频点≥12通道；</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77）功率范围：-25dBm~-65dBm；</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78）外部接口包含但不限于：10MHz时钟信号接口、1PPS信号接口、射频输出接口、RJ45接口等；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79）设备尺寸：≤300mm×250mm×40mm；</w:t>
                  </w:r>
                </w:p>
                <w:p>
                  <w:pPr>
                    <w:pStyle w:val="null3"/>
                    <w:spacing w:before="105" w:after="105"/>
                    <w:jc w:val="left"/>
                  </w:pPr>
                  <w:r>
                    <w:rPr>
                      <w:rFonts w:ascii="仿宋_GB2312" w:hAnsi="仿宋_GB2312" w:cs="仿宋_GB2312" w:eastAsia="仿宋_GB2312"/>
                      <w:sz w:val="21"/>
                      <w:color w:val="000000"/>
                    </w:rPr>
                    <w:t>▲（80）</w:t>
                  </w:r>
                  <w:r>
                    <w:rPr>
                      <w:rFonts w:ascii="仿宋_GB2312" w:hAnsi="仿宋_GB2312" w:cs="仿宋_GB2312" w:eastAsia="仿宋_GB2312"/>
                      <w:sz w:val="21"/>
                      <w:color w:val="000000"/>
                    </w:rPr>
                    <w:t>提供北斗卫星导航模拟仿真软件，包含整套北斗卫星导航模拟仿真软件设计流程图；</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81）北斗卫星导航系统仿真功能，具备空间段卫星星座仿真功能、电离层误差仿真功能、对流层误差仿真功能、星历拟合功能、钟差拟合功能、地面段仿真功能以及用户段仿真等全系统仿真的能力；</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82）数据产品仿真功能，可生成轨道、钟差、电离层、观测数据等，支持Rinex格式和自定义数据文本格式数据的存储导出；</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83）分析评估功能，具备对卫星导航系统的服务性能、监测接收机可见星及用户的定位精度进行分析与评估功能，支持覆盖性分析、DOP分析、NSP分析能力；</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84）数据兼容功能，具备与实测数据、现有常用软件的兼容交互功能，支持Rinex格式的数据导入以及与外部数据处理软件的数据兼容功能等；</w:t>
                  </w:r>
                </w:p>
                <w:p>
                  <w:pPr>
                    <w:pStyle w:val="null3"/>
                    <w:spacing w:before="105" w:after="10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85）数据可视化功能，具备仿真数据、仿真过程、评估结果的可视化功能，支持二维、三维可视化展现。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1套</w:t>
                  </w:r>
                </w:p>
              </w:tc>
            </w:tr>
          </w:tbl>
          <w:p>
            <w:pPr>
              <w:pStyle w:val="null3"/>
              <w:jc w:val="left"/>
            </w:pPr>
            <w:r>
              <w:rPr>
                <w:rFonts w:ascii="仿宋_GB2312" w:hAnsi="仿宋_GB2312" w:cs="仿宋_GB2312" w:eastAsia="仿宋_GB2312"/>
                <w:sz w:val="28"/>
                <w:b/>
              </w:rPr>
              <w:t>三、其他要求</w:t>
            </w:r>
          </w:p>
          <w:p>
            <w:pPr>
              <w:pStyle w:val="null3"/>
              <w:jc w:val="left"/>
            </w:pPr>
            <w:r>
              <w:rPr>
                <w:rFonts w:ascii="仿宋_GB2312" w:hAnsi="仿宋_GB2312" w:cs="仿宋_GB2312" w:eastAsia="仿宋_GB2312"/>
                <w:sz w:val="20"/>
              </w:rPr>
              <w:t>1、在维保期内免费提供故障排除、定期巡检，备件更换，系统升级等服务。售后人员7*24小时服务，设备和系统出现故障时1小时内响应，12小时内到达现场进行故障排处。</w:t>
            </w:r>
          </w:p>
          <w:p>
            <w:pPr>
              <w:pStyle w:val="null3"/>
              <w:jc w:val="left"/>
            </w:pPr>
            <w:r>
              <w:rPr>
                <w:rFonts w:ascii="仿宋_GB2312" w:hAnsi="仿宋_GB2312" w:cs="仿宋_GB2312" w:eastAsia="仿宋_GB2312"/>
                <w:sz w:val="20"/>
              </w:rPr>
              <w:t>2、培训要求：提供免费的技术培训，包括但不限于所有软件系统的使用方法和技巧；所有硬件设备的使用和维护方法；实训课程的案例、题库等相关知识技巧，培训时长不少于5天。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设备满足技术参数、调试安装完毕，可正常使用，且现场为本项目培训1-2名技术人员，使培训人员达到熟练掌握、灵活应用的程度。（2）验收依据：招标文件、投标文件、澄清表(函)，采购人和中标人双方签订的买卖合同。（3）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设备质保3年，软件免费提供升级，硬件质保期过后若出现故障，零配件按出厂价提供。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投标人须提供参加本次政府采购活动前3年内在经营活动中没有重大违法记录的书面声明并进行电子签章。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投标人须提供具有履行合同所必需的设备和专业技术能力书面声明函并进行电子签章。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报价表、分项报价表.docx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投标人资格条件证明文件.docx 投标方案说明.docx 中小企业声明函 报价表、分项报价表.docx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投标人资格条件证明文件.docx 投标方案说明.docx 中小企业声明函 报价表、分项报价表.docx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交货时间符合招标文件要求</w:t>
            </w:r>
          </w:p>
        </w:tc>
        <w:tc>
          <w:tcPr>
            <w:tcW w:type="dxa" w:w="1661"/>
          </w:tcPr>
          <w:p>
            <w:pPr>
              <w:pStyle w:val="null3"/>
            </w:pPr>
            <w:r>
              <w:rPr>
                <w:rFonts w:ascii="仿宋_GB2312" w:hAnsi="仿宋_GB2312" w:cs="仿宋_GB2312" w:eastAsia="仿宋_GB2312"/>
              </w:rPr>
              <w:t>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投标方案说明.docx 中小企业声明函 报价表、分项报价表.docx 商务条款响应说明.docx 技术指标偏差表.docx 保证金缴纳凭证或担保机构出具的保函.docx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 完全符合、响应招标文件要求，没有负偏离计29分；“▲”号参数为重要技术指标，每负偏离一项扣1分，非“▲”号参数每负偏离一项扣0.2分。扣完为止。 备注： 技术参数中“▲”参数须提供相应的佐证材料（包括但不限于产品彩页、说明书、检测报告、官网和功能截图等）予以证明技术的响应性，否则视为负偏离。</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1、完全满足招标文件要求，无瑕疵计14分； 2、存在1处瑕疵计12分； 3、存在2处瑕疵计10分； 4、存在3处瑕疵计8分； 5、存在4处瑕疵计6分； 6、存在5处瑕疵计4分； 7、存在6处瑕疵计2分；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1、完全满足招标文件要求，无瑕疵计2分； 2、存在1处瑕疵计1分； 3、未提供或内容存在2处及以上瑕疵：0分。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投标人针对本项目提供产品使用、技术保障等方面的方案及保证措施。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培训课程地点和时间、培训的内容、方式、次数等，培训内容应包括所提供产品的原理和技术性能、操作方法、安装调试、排除故障等各个方面，培训的具体日期及人数由使用单位确定。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投标人提供2022年1月1日至今（以合同签订日期为准）类似项目业绩合同，每提供一份计1分，满分2分。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ind w:firstLine="960"/>
      </w:pPr>
      <w:r>
        <w:rPr>
          <w:rFonts w:ascii="仿宋_GB2312" w:hAnsi="仿宋_GB2312" w:cs="仿宋_GB2312" w:eastAsia="仿宋_GB2312"/>
        </w:rPr>
        <w:t>详见附件：保证金缴纳凭证或担保机构出具的保函.docx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