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0D441">
      <w:pPr>
        <w:pStyle w:val="2"/>
        <w:bidi w:val="0"/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  <w:t>类似业绩情况表</w:t>
      </w:r>
    </w:p>
    <w:tbl>
      <w:tblPr>
        <w:tblStyle w:val="7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D156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E8DC0F4">
            <w:pPr>
              <w:pStyle w:val="6"/>
              <w:spacing w:before="170" w:line="206" w:lineRule="auto"/>
              <w:ind w:left="1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5466C11">
            <w:pPr>
              <w:pStyle w:val="6"/>
              <w:spacing w:before="139" w:line="221" w:lineRule="auto"/>
              <w:ind w:left="147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4B4C5A1A">
            <w:pPr>
              <w:pStyle w:val="6"/>
              <w:spacing w:before="139" w:line="221" w:lineRule="auto"/>
              <w:ind w:left="3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5E12D75B">
            <w:pPr>
              <w:pStyle w:val="6"/>
              <w:spacing w:before="140" w:line="223" w:lineRule="auto"/>
              <w:ind w:left="564"/>
              <w:rPr>
                <w:rFonts w:hint="default" w:eastAsia="仿宋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pacing w:val="-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71875218">
            <w:pPr>
              <w:pStyle w:val="6"/>
              <w:spacing w:before="140" w:line="223" w:lineRule="auto"/>
              <w:jc w:val="right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6DADF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3C1752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566B68B7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59F805C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0B3F7BD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A06F1A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AFF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104516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69D0D40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3CB7C92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11045233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6CEF097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670C7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D6FE14C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1089CB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F980EE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0FFC5B3B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4E607849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21047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084C6AF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3EB00B9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8DEB486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317BA5C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06E7A86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55C3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D22BC0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37EF2EA8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04FDFFF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AF2BA2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8B37D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E38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9495DC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28B77F22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1F1D499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2B2E90F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3D258B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515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F5B1F19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EAA1E38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97BD6F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1DBA65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5BB7AE45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BEA0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4501500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758FB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37D653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771E84C1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7B231EA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70C9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B08AE72">
            <w:pPr>
              <w:pStyle w:val="6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数量合计（个）：</w:t>
            </w:r>
          </w:p>
        </w:tc>
      </w:tr>
    </w:tbl>
    <w:p w14:paraId="0F9F6B09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 w14:paraId="3B838315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注：本表后附相关证明材料。</w:t>
      </w:r>
    </w:p>
    <w:p w14:paraId="26947ACF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625D2A9D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2C1CD14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F2ED16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85B6F04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4B879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C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2025-07-04T09:30:16Z</dcterms:created>
  <dc:creator>DELL</dc:creator>
  <cp:lastModifiedBy>DELL</cp:lastModifiedBy>
  <dcterms:modified xsi:type="dcterms:W3CDTF">2025-07-04T09:30:38Z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63E4562E41E142A5A4E7FCEC01FD96B8_12</vt:lpwstr>
  </property>
</Properties>
</file>