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4EAC5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现场踏勘方案及极端天气应对</w:t>
      </w:r>
      <w:bookmarkStart w:id="0" w:name="_GoBack"/>
      <w:bookmarkEnd w:id="0"/>
    </w:p>
    <w:p w14:paraId="17203A0A">
      <w:pPr>
        <w:jc w:val="center"/>
        <w:rPr>
          <w:rFonts w:hint="eastAsia" w:eastAsia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（各供应商根据评审办法，自主编写方案）</w:t>
      </w:r>
    </w:p>
    <w:p w14:paraId="02527B0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91691"/>
    <w:rsid w:val="2DBD12AF"/>
    <w:rsid w:val="3AD9477F"/>
    <w:rsid w:val="7A4E17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2025-07-04T09:26:00Z</dcterms:created>
  <dc:creator>DELL</dc:creator>
  <cp:lastModifiedBy>DELL</cp:lastModifiedBy>
  <dcterms:modified xsi:type="dcterms:W3CDTF">2025-07-09T10:10:30Z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eyJoZGlkIjoiZmY2MGE3NzI4MDUwMzliYjZjYmMzZmQ4N2QwMWY5ZmQifQ==</vt:lpwstr>
  </property>
  <property fmtid="{D5CDD505-2E9C-101B-9397-08002B2CF9AE}" pid="4" name="ICV">
    <vt:lpwstr>84790C54EC1B4F8F905511BE4F6FCC9E_13</vt:lpwstr>
  </property>
</Properties>
</file>