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版本号：ZX2025-07-89(三次)20251119001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分布式光纤应力应变测量分析仪采购项目(三次)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ZX2025-07-89(三次)</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分布式光纤应力应变测量分析仪采购项目(三次)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ZX2025-07-89(三次)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分布式光纤应力应变测量分析仪采购项目(三次)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西安科技大学分布式光纤应力应变测量分析仪采购项目，1项，具体详见采购文件第三章。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1、法定代表人授权委托书：法定代表人参加投标的，须出示身份证；法定代表人授权他人参加投标的，须提供法定代表人授权委托书、被授权人身份证。</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王琦 蔡丹 马演 曹婷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采购包1保证金金额：60,078.90元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代理服务费收费标准：代理服务费包括： ①本项目服务费：参照国家计委计价格[2002]1980 号及发改办价格[2003]857号通知规定的77.5%收取。 ②本项目相关论证费：前期论证会1次，每次费用 2125 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3.1.1 项目概况</w:t>
      </w:r>
    </w:p>
    <w:p>
      <w:pPr>
        <w:pStyle w:val="null3"/>
      </w:pPr>
      <w:r>
        <w:rPr>
          <w:rFonts w:ascii="仿宋_GB2312" w:hAnsi="仿宋_GB2312" w:cs="仿宋_GB2312" w:eastAsia="仿宋_GB2312"/>
        </w:rPr>
        <w:t>采购分布式光纤应力应变测量分析仪，1台</w:t>
      </w:r>
    </w:p>
    <w:p>
      <w:pPr>
        <w:pStyle w:val="null3"/>
      </w:pPr>
      <w:r>
        <w:rPr>
          <w:rFonts w:ascii="仿宋_GB2312" w:hAnsi="仿宋_GB2312" w:cs="仿宋_GB2312" w:eastAsia="仿宋_GB2312"/>
        </w:rPr>
        <w:t>3.1.2 项目背景</w:t>
      </w:r>
    </w:p>
    <w:p>
      <w:pPr>
        <w:pStyle w:val="null3"/>
      </w:pPr>
      <w:r>
        <w:rPr>
          <w:rFonts w:ascii="仿宋_GB2312" w:hAnsi="仿宋_GB2312" w:cs="仿宋_GB2312" w:eastAsia="仿宋_GB2312"/>
        </w:rPr>
        <w:t>围绕国家能源安全和“双碳”目标，西部大开发和黄河流域等区域发展战略，响应“一带一路”能源战略布局，服务煤炭行业和区域经济发展主战场。目前紧扣前言科研热点，亟待开展相关平台升级改造，需要原有平台基础上建设岩体多尺度变形光纤测试系统，包括购置分布式光纤应力应变测量分析仪。</w:t>
      </w:r>
    </w:p>
    <w:p>
      <w:pPr>
        <w:pStyle w:val="null3"/>
      </w:pPr>
      <w:r>
        <w:rPr>
          <w:rFonts w:ascii="仿宋_GB2312" w:hAnsi="仿宋_GB2312" w:cs="仿宋_GB2312" w:eastAsia="仿宋_GB2312"/>
        </w:rPr>
        <w:t>实现岩体多尺度变形光纤监测测试系统将形成完整配套的岩体动态损伤内部测试、煤矿上覆岩层形变破坏过程监测、冲击动力灾害监测，及矿山压力实验室的相似材料物理模型实验测试。其特色是采用最先进的分布式光纤传感技术开展岩体内部损伤、冲击动力灾害、动应变（力）、湿度（含水率），建立岩体多尺度变形动态表征，创新性的开展岩体动力灾害光纤识别及表征研究。岩体多尺度变形光纤测试系统优势体现在，在原有矿山岩体光纤智能监测多年研究基础之上，借助上述光纤传感监测设备购置提升，融合促进深部地下空间围岩灾变多场耦合精准感知调控平台建设。</w:t>
      </w:r>
    </w:p>
    <w:p>
      <w:pPr>
        <w:pStyle w:val="null3"/>
      </w:pPr>
      <w:r>
        <w:rPr>
          <w:rFonts w:ascii="仿宋_GB2312" w:hAnsi="仿宋_GB2312" w:cs="仿宋_GB2312" w:eastAsia="仿宋_GB2312"/>
        </w:rPr>
        <w:t>建设深部地下空间围岩灾变多场耦合精准感知调控平台，形成深部地下空间围岩灾变智能感知关键技术、灾害精准调控关键技术以及地下空间可靠利用关键技术等装备体系，开展多学科交叉研究，作为硕士、博士研究生以及博士后研究人员科研创新平台，本科生的创新创业教育，对培养基础扎实、能力强、素质高的应用型工程技术人才，研究适用于解决西部矿区开采动力灾害防治、绿色开采模式等问题的新技术，具有重要意义。</w:t>
      </w:r>
    </w:p>
    <w:p>
      <w:pPr>
        <w:pStyle w:val="null3"/>
      </w:pPr>
      <w:r>
        <w:rPr>
          <w:rFonts w:ascii="仿宋_GB2312" w:hAnsi="仿宋_GB2312" w:cs="仿宋_GB2312" w:eastAsia="仿宋_GB2312"/>
        </w:rPr>
        <w:t>3.1.3 核心目标</w:t>
      </w:r>
    </w:p>
    <w:p>
      <w:pPr>
        <w:pStyle w:val="null3"/>
      </w:pPr>
      <w:r>
        <w:rPr>
          <w:rFonts w:ascii="仿宋_GB2312" w:hAnsi="仿宋_GB2312" w:cs="仿宋_GB2312" w:eastAsia="仿宋_GB2312"/>
          <w:b/>
        </w:rPr>
        <w:t>核心目标应用场景为：用于长×宽×高尺寸1m×0.2m×1m至5m×2m×2m的矿山覆岩变形物理实验的岩层运移精细化定量表征、岩石力学性能实验及工程煤岩体内部变形场定量化分区监测，需要采购长距离条件下高空间分辨率、低采样间隔数据采集的分布式光纤应力应变测量分析仪。</w:t>
      </w:r>
    </w:p>
    <w:p>
      <w:pPr>
        <w:pStyle w:val="null3"/>
      </w:pPr>
      <w:r>
        <w:rPr>
          <w:rFonts w:ascii="仿宋_GB2312" w:hAnsi="仿宋_GB2312" w:cs="仿宋_GB2312" w:eastAsia="仿宋_GB2312"/>
          <w:b/>
        </w:rPr>
        <w:t>其核心目标技术指标要求如下：在布里渊时域分析BOTDA测量模式下，最小空间分辨率需达到2cm，最小采样间隔需达到1cm。在BOTDA测量模式下，最小空间分辨率设置为2cm时，测量距离≥0.5km；空间分辨率设置为5cm时，测量距离≥1km；空间分辨率设置为10cm时，测量距离≥2km；空间分辨率设置为20cm时，测量距离≥5km。在BOTDA、BOTDR不同测量模式下，最小采样间隔1cm全量程可设置，在任何测量距离下都能实现1cm采样间隔的采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分布式光纤应力应变测量分析仪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标的名称：分布式光纤应力应变测量分析仪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分布式光纤应力应变测量分析仪</w:t>
                  </w:r>
                </w:p>
              </w:tc>
              <w:tc>
                <w:tcPr>
                  <w:tcW w:type="dxa" w:w="851"/>
                </w:tcPr>
                <w:p>
                  <w:pPr>
                    <w:pStyle w:val="null3"/>
                  </w:pPr>
                  <w:r>
                    <w:rPr>
                      <w:rFonts w:ascii="仿宋_GB2312" w:hAnsi="仿宋_GB2312" w:cs="仿宋_GB2312" w:eastAsia="仿宋_GB2312"/>
                    </w:rPr>
                    <w:t>1台</w:t>
                  </w:r>
                </w:p>
              </w:tc>
              <w:tc>
                <w:tcPr>
                  <w:tcW w:type="dxa" w:w="851"/>
                </w:tcPr>
                <w:p>
                  <w:pPr>
                    <w:pStyle w:val="null3"/>
                  </w:pPr>
                  <w:r>
                    <w:rPr>
                      <w:rFonts w:ascii="仿宋_GB2312" w:hAnsi="仿宋_GB2312" w:cs="仿宋_GB2312" w:eastAsia="仿宋_GB2312"/>
                    </w:rPr>
                    <w:t>核心产品，已通过进口产品论证，允许采购进口产品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w:t>
            </w:r>
            <w:r>
              <w:rPr>
                <w:rFonts w:ascii="仿宋_GB2312" w:hAnsi="仿宋_GB2312" w:cs="仿宋_GB2312" w:eastAsia="仿宋_GB2312"/>
              </w:rPr>
              <w:t>本项目拟采购</w:t>
            </w:r>
            <w:r>
              <w:rPr>
                <w:rFonts w:ascii="仿宋_GB2312" w:hAnsi="仿宋_GB2312" w:cs="仿宋_GB2312" w:eastAsia="仿宋_GB2312"/>
              </w:rPr>
              <w:t>产品为</w:t>
            </w:r>
            <w:r>
              <w:rPr>
                <w:rFonts w:ascii="仿宋_GB2312" w:hAnsi="仿宋_GB2312" w:cs="仿宋_GB2312" w:eastAsia="仿宋_GB2312"/>
                <w:b/>
              </w:rPr>
              <w:t>单台设备（具备</w:t>
            </w:r>
            <w:r>
              <w:rPr>
                <w:rFonts w:ascii="仿宋_GB2312" w:hAnsi="仿宋_GB2312" w:cs="仿宋_GB2312" w:eastAsia="仿宋_GB2312"/>
                <w:b/>
              </w:rPr>
              <w:t>BOTDA/BOTDR双模式</w:t>
            </w:r>
            <w:r>
              <w:rPr>
                <w:rFonts w:ascii="仿宋_GB2312" w:hAnsi="仿宋_GB2312" w:cs="仿宋_GB2312" w:eastAsia="仿宋_GB2312"/>
                <w:b/>
              </w:rPr>
              <w:t>）</w:t>
            </w:r>
            <w:r>
              <w:rPr>
                <w:rFonts w:ascii="仿宋_GB2312" w:hAnsi="仿宋_GB2312" w:cs="仿宋_GB2312" w:eastAsia="仿宋_GB2312"/>
              </w:rPr>
              <w:t>，</w:t>
            </w:r>
            <w:r>
              <w:rPr>
                <w:rFonts w:ascii="仿宋_GB2312" w:hAnsi="仿宋_GB2312" w:cs="仿宋_GB2312" w:eastAsia="仿宋_GB2312"/>
              </w:rPr>
              <w:t>不接受多台设备堆叠或者外接模块等形式，否则视为不满足招标要求。所投产品尺寸不超过</w:t>
            </w:r>
            <w:r>
              <w:rPr>
                <w:rFonts w:ascii="仿宋_GB2312" w:hAnsi="仿宋_GB2312" w:cs="仿宋_GB2312" w:eastAsia="仿宋_GB2312"/>
              </w:rPr>
              <w:t>500 (W) × 500 (D) × 500 (H) mm。提供产品前、后、左、右照片。</w:t>
            </w:r>
          </w:p>
          <w:p>
            <w:pPr>
              <w:pStyle w:val="null3"/>
            </w:pPr>
            <w:r>
              <w:rPr>
                <w:rFonts w:ascii="仿宋_GB2312" w:hAnsi="仿宋_GB2312" w:cs="仿宋_GB2312" w:eastAsia="仿宋_GB2312"/>
              </w:rPr>
              <w:t>★1.测试距离：≥25km；</w:t>
            </w:r>
          </w:p>
          <w:p>
            <w:pPr>
              <w:pStyle w:val="null3"/>
            </w:pPr>
            <w:r>
              <w:rPr>
                <w:rFonts w:ascii="仿宋_GB2312" w:hAnsi="仿宋_GB2312" w:cs="仿宋_GB2312" w:eastAsia="仿宋_GB2312"/>
              </w:rPr>
              <w:t>★2.应变测量范围：-3%到+3%（-30000到+30000με)；</w:t>
            </w:r>
          </w:p>
          <w:p>
            <w:pPr>
              <w:pStyle w:val="null3"/>
            </w:pPr>
            <w:r>
              <w:rPr>
                <w:rFonts w:ascii="仿宋_GB2312" w:hAnsi="仿宋_GB2312" w:cs="仿宋_GB2312" w:eastAsia="仿宋_GB2312"/>
              </w:rPr>
              <w:t>★3.设备</w:t>
            </w:r>
            <w:r>
              <w:rPr>
                <w:rFonts w:ascii="仿宋_GB2312" w:hAnsi="仿宋_GB2312" w:cs="仿宋_GB2312" w:eastAsia="仿宋_GB2312"/>
              </w:rPr>
              <w:t>只</w:t>
            </w:r>
            <w:r>
              <w:rPr>
                <w:rFonts w:ascii="仿宋_GB2312" w:hAnsi="仿宋_GB2312" w:cs="仿宋_GB2312" w:eastAsia="仿宋_GB2312"/>
              </w:rPr>
              <w:t>自带</w:t>
            </w:r>
            <w:r>
              <w:rPr>
                <w:rFonts w:ascii="仿宋_GB2312" w:hAnsi="仿宋_GB2312" w:cs="仿宋_GB2312" w:eastAsia="仿宋_GB2312"/>
              </w:rPr>
              <w:t>1个</w:t>
            </w:r>
            <w:r>
              <w:rPr>
                <w:rFonts w:ascii="仿宋_GB2312" w:hAnsi="仿宋_GB2312" w:cs="仿宋_GB2312" w:eastAsia="仿宋_GB2312"/>
              </w:rPr>
              <w:t>数据分析软件</w:t>
            </w:r>
            <w:r>
              <w:rPr>
                <w:rFonts w:ascii="仿宋_GB2312" w:hAnsi="仿宋_GB2312" w:cs="仿宋_GB2312" w:eastAsia="仿宋_GB2312"/>
              </w:rPr>
              <w:t>，具有</w:t>
            </w:r>
            <w:r>
              <w:rPr>
                <w:rFonts w:ascii="仿宋_GB2312" w:hAnsi="仿宋_GB2312" w:cs="仿宋_GB2312" w:eastAsia="仿宋_GB2312"/>
              </w:rPr>
              <w:t>校正和分析功能；</w:t>
            </w:r>
          </w:p>
          <w:p>
            <w:pPr>
              <w:pStyle w:val="null3"/>
            </w:pPr>
            <w:r>
              <w:rPr>
                <w:rFonts w:ascii="仿宋_GB2312" w:hAnsi="仿宋_GB2312" w:cs="仿宋_GB2312" w:eastAsia="仿宋_GB2312"/>
              </w:rPr>
              <w:t>能</w:t>
            </w:r>
            <w:r>
              <w:rPr>
                <w:rFonts w:ascii="仿宋_GB2312" w:hAnsi="仿宋_GB2312" w:cs="仿宋_GB2312" w:eastAsia="仿宋_GB2312"/>
              </w:rPr>
              <w:t>在单根光纤测试时实现任意光纤位置应变数据与温度数据同时获取；同时使用一根光纤不需要温度补偿就</w:t>
            </w:r>
            <w:r>
              <w:rPr>
                <w:rFonts w:ascii="仿宋_GB2312" w:hAnsi="仿宋_GB2312" w:cs="仿宋_GB2312" w:eastAsia="仿宋_GB2312"/>
              </w:rPr>
              <w:t>能</w:t>
            </w:r>
            <w:r>
              <w:rPr>
                <w:rFonts w:ascii="仿宋_GB2312" w:hAnsi="仿宋_GB2312" w:cs="仿宋_GB2312" w:eastAsia="仿宋_GB2312"/>
              </w:rPr>
              <w:t>分离温度和应变；</w:t>
            </w:r>
          </w:p>
          <w:p>
            <w:pPr>
              <w:pStyle w:val="null3"/>
            </w:pPr>
            <w:r>
              <w:rPr>
                <w:rFonts w:ascii="仿宋_GB2312" w:hAnsi="仿宋_GB2312" w:cs="仿宋_GB2312" w:eastAsia="仿宋_GB2312"/>
              </w:rPr>
              <w:t>能同步获取连续分布的应变与温度信息，直接输出在空间上完全对齐的连续应变曲线和温度曲线，确保每一个测量点的数据都具有对应关系。</w:t>
            </w:r>
          </w:p>
          <w:p>
            <w:pPr>
              <w:pStyle w:val="null3"/>
            </w:pPr>
            <w:r>
              <w:rPr>
                <w:rFonts w:ascii="仿宋_GB2312" w:hAnsi="仿宋_GB2312" w:cs="仿宋_GB2312" w:eastAsia="仿宋_GB2312"/>
              </w:rPr>
              <w:t>▲4.测量模式：至少具备BOTDR（布里渊时域反射）、BOTDA（布里渊时域分析）两种测量模式；提供体现各软件测量模式的选择界面。</w:t>
            </w:r>
          </w:p>
          <w:p>
            <w:pPr>
              <w:pStyle w:val="null3"/>
            </w:pPr>
            <w:r>
              <w:rPr>
                <w:rFonts w:ascii="仿宋_GB2312" w:hAnsi="仿宋_GB2312" w:cs="仿宋_GB2312" w:eastAsia="仿宋_GB2312"/>
              </w:rPr>
              <w:t>5.</w:t>
            </w:r>
            <w:r>
              <w:rPr>
                <w:rFonts w:ascii="仿宋_GB2312" w:hAnsi="仿宋_GB2312" w:cs="仿宋_GB2312" w:eastAsia="仿宋_GB2312"/>
              </w:rPr>
              <w:t>自带软件功能要求：</w:t>
            </w:r>
          </w:p>
          <w:p>
            <w:pPr>
              <w:pStyle w:val="null3"/>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分布式光纤应力应变测量分析仪需要配备专门的软件，用于进行测试和高级数据分析</w:t>
            </w:r>
            <w:r>
              <w:rPr>
                <w:rFonts w:ascii="仿宋_GB2312" w:hAnsi="仿宋_GB2312" w:cs="仿宋_GB2312" w:eastAsia="仿宋_GB2312"/>
              </w:rPr>
              <w:t>（</w:t>
            </w:r>
            <w:r>
              <w:rPr>
                <w:rFonts w:ascii="仿宋_GB2312" w:hAnsi="仿宋_GB2312" w:cs="仿宋_GB2312" w:eastAsia="仿宋_GB2312"/>
              </w:rPr>
              <w:t>提供软件</w:t>
            </w:r>
            <w:r>
              <w:rPr>
                <w:rFonts w:ascii="仿宋_GB2312" w:hAnsi="仿宋_GB2312" w:cs="仿宋_GB2312" w:eastAsia="仿宋_GB2312"/>
              </w:rPr>
              <w:t>功能截图）。</w:t>
            </w:r>
            <w:r>
              <w:rPr>
                <w:rFonts w:ascii="仿宋_GB2312" w:hAnsi="仿宋_GB2312" w:cs="仿宋_GB2312" w:eastAsia="仿宋_GB2312"/>
              </w:rPr>
              <w:t>包含过滤、去除零漂及区域映射功能；</w:t>
            </w:r>
          </w:p>
          <w:p>
            <w:pPr>
              <w:pStyle w:val="null3"/>
            </w:pPr>
            <w:r>
              <w:rPr>
                <w:rFonts w:ascii="仿宋_GB2312" w:hAnsi="仿宋_GB2312" w:cs="仿宋_GB2312" w:eastAsia="仿宋_GB2312"/>
              </w:rPr>
              <w:t>▲5.</w:t>
            </w:r>
            <w:r>
              <w:rPr>
                <w:rFonts w:ascii="仿宋_GB2312" w:hAnsi="仿宋_GB2312" w:cs="仿宋_GB2312" w:eastAsia="仿宋_GB2312"/>
              </w:rPr>
              <w:t>2</w:t>
            </w:r>
            <w:r>
              <w:rPr>
                <w:rFonts w:ascii="仿宋_GB2312" w:hAnsi="仿宋_GB2312" w:cs="仿宋_GB2312" w:eastAsia="仿宋_GB2312"/>
              </w:rPr>
              <w:t>软件界面能显示应变、温度、波形以及光纤长度，</w:t>
            </w:r>
            <w:r>
              <w:rPr>
                <w:rFonts w:ascii="仿宋_GB2312" w:hAnsi="仿宋_GB2312" w:cs="仿宋_GB2312" w:eastAsia="仿宋_GB2312"/>
              </w:rPr>
              <w:t>能</w:t>
            </w:r>
            <w:r>
              <w:rPr>
                <w:rFonts w:ascii="仿宋_GB2312" w:hAnsi="仿宋_GB2312" w:cs="仿宋_GB2312" w:eastAsia="仿宋_GB2312"/>
              </w:rPr>
              <w:t>进行差值操作，且能对曲线任意位置进行拖动缩放；</w:t>
            </w:r>
          </w:p>
          <w:p>
            <w:pPr>
              <w:pStyle w:val="null3"/>
            </w:pPr>
            <w:r>
              <w:rPr>
                <w:rFonts w:ascii="仿宋_GB2312" w:hAnsi="仿宋_GB2312" w:cs="仿宋_GB2312" w:eastAsia="仿宋_GB2312"/>
              </w:rPr>
              <w:t>▲5.</w:t>
            </w:r>
            <w:r>
              <w:rPr>
                <w:rFonts w:ascii="仿宋_GB2312" w:hAnsi="仿宋_GB2312" w:cs="仿宋_GB2312" w:eastAsia="仿宋_GB2312"/>
              </w:rPr>
              <w:t>3</w:t>
            </w:r>
            <w:r>
              <w:rPr>
                <w:rFonts w:ascii="仿宋_GB2312" w:hAnsi="仿宋_GB2312" w:cs="仿宋_GB2312" w:eastAsia="仿宋_GB2312"/>
              </w:rPr>
              <w:t>对光纤位置定位和长度校正，能进行有效对比和趋势分析；</w:t>
            </w:r>
          </w:p>
          <w:p>
            <w:pPr>
              <w:pStyle w:val="null3"/>
            </w:pPr>
            <w:r>
              <w:rPr>
                <w:rFonts w:ascii="仿宋_GB2312" w:hAnsi="仿宋_GB2312" w:cs="仿宋_GB2312" w:eastAsia="仿宋_GB2312"/>
              </w:rPr>
              <w:t>▲5.4开放式架构(OA)，允许用户自定义 、扩展软件的标准功能。</w:t>
            </w:r>
          </w:p>
          <w:p>
            <w:pPr>
              <w:pStyle w:val="null3"/>
            </w:pPr>
            <w:r>
              <w:rPr>
                <w:rFonts w:ascii="仿宋_GB2312" w:hAnsi="仿宋_GB2312" w:cs="仿宋_GB2312" w:eastAsia="仿宋_GB2312"/>
              </w:rPr>
              <w:t>6. 光纤连接器接口：至少包含FC/APC；接口类型:至少4个USB3.0,至少2个LAN，至少1个HDMI；适用光纤类型:单模光纤；</w:t>
            </w:r>
          </w:p>
          <w:p>
            <w:pPr>
              <w:pStyle w:val="null3"/>
            </w:pPr>
            <w:r>
              <w:rPr>
                <w:rFonts w:ascii="仿宋_GB2312" w:hAnsi="仿宋_GB2312" w:cs="仿宋_GB2312" w:eastAsia="仿宋_GB2312"/>
              </w:rPr>
              <w:t xml:space="preserve">7. </w:t>
            </w:r>
            <w:r>
              <w:rPr>
                <w:rFonts w:ascii="仿宋_GB2312" w:hAnsi="仿宋_GB2312" w:cs="仿宋_GB2312" w:eastAsia="仿宋_GB2312"/>
              </w:rPr>
              <w:t>采样点数：大于等于</w:t>
            </w:r>
            <w:r>
              <w:rPr>
                <w:rFonts w:ascii="仿宋_GB2312" w:hAnsi="仿宋_GB2312" w:cs="仿宋_GB2312" w:eastAsia="仿宋_GB2312"/>
              </w:rPr>
              <w:t>60</w:t>
            </w:r>
            <w:r>
              <w:rPr>
                <w:rFonts w:ascii="仿宋_GB2312" w:hAnsi="仿宋_GB2312" w:cs="仿宋_GB2312" w:eastAsia="仿宋_GB2312"/>
              </w:rPr>
              <w:t>0000；</w:t>
            </w:r>
          </w:p>
          <w:p>
            <w:pPr>
              <w:pStyle w:val="null3"/>
            </w:pPr>
            <w:r>
              <w:rPr>
                <w:rFonts w:ascii="仿宋_GB2312" w:hAnsi="仿宋_GB2312" w:cs="仿宋_GB2312" w:eastAsia="仿宋_GB2312"/>
              </w:rPr>
              <w:t>▲</w:t>
            </w:r>
            <w:r>
              <w:rPr>
                <w:rFonts w:ascii="仿宋_GB2312" w:hAnsi="仿宋_GB2312" w:cs="仿宋_GB2312" w:eastAsia="仿宋_GB2312"/>
              </w:rPr>
              <w:t xml:space="preserve">8. </w:t>
            </w:r>
            <w:r>
              <w:rPr>
                <w:rFonts w:ascii="仿宋_GB2312" w:hAnsi="仿宋_GB2312" w:cs="仿宋_GB2312" w:eastAsia="仿宋_GB2312"/>
              </w:rPr>
              <w:t>应变</w:t>
            </w:r>
            <w:r>
              <w:rPr>
                <w:rFonts w:ascii="仿宋_GB2312" w:hAnsi="仿宋_GB2312" w:cs="仿宋_GB2312" w:eastAsia="仿宋_GB2312"/>
              </w:rPr>
              <w:t>/温度测量精度：≤30με/1.5℃(BOTDR测量模式)，≤5με/0.25℃(BOTDA测量模式）; 应变/温度测量重复性：≤20με/1℃(BOTDR测量模式)，≤2με/0.1℃(BOTDA测量模式）；测量波长：1550±2 nm(BOTDA/BOTDR模式)；</w:t>
            </w:r>
          </w:p>
          <w:p>
            <w:pPr>
              <w:pStyle w:val="null3"/>
            </w:pPr>
            <w:r>
              <w:rPr>
                <w:rFonts w:ascii="仿宋_GB2312" w:hAnsi="仿宋_GB2312" w:cs="仿宋_GB2312" w:eastAsia="仿宋_GB2312"/>
              </w:rPr>
              <w:t>9.</w:t>
            </w:r>
            <w:r>
              <w:rPr>
                <w:rFonts w:ascii="仿宋_GB2312" w:hAnsi="仿宋_GB2312" w:cs="仿宋_GB2312" w:eastAsia="仿宋_GB2312"/>
              </w:rPr>
              <w:t>频率扫描范围：</w:t>
            </w:r>
            <w:r>
              <w:rPr>
                <w:rFonts w:ascii="仿宋_GB2312" w:hAnsi="仿宋_GB2312" w:cs="仿宋_GB2312" w:eastAsia="仿宋_GB2312"/>
              </w:rPr>
              <w:t>9-13GHz(BOTDA/BOTDR模式)；频率扫描步长：1-50MHz(BOTDA/BOTDR模式)。</w:t>
            </w:r>
          </w:p>
          <w:p>
            <w:pPr>
              <w:pStyle w:val="null3"/>
            </w:pPr>
            <w:r>
              <w:rPr>
                <w:rFonts w:ascii="仿宋_GB2312" w:hAnsi="仿宋_GB2312" w:cs="仿宋_GB2312" w:eastAsia="仿宋_GB2312"/>
              </w:rPr>
              <w:t>10.</w:t>
            </w:r>
            <w:r>
              <w:rPr>
                <w:rFonts w:ascii="仿宋_GB2312" w:hAnsi="仿宋_GB2312" w:cs="仿宋_GB2312" w:eastAsia="仿宋_GB2312"/>
              </w:rPr>
              <w:t xml:space="preserve"> </w:t>
            </w:r>
            <w:r>
              <w:rPr>
                <w:rFonts w:ascii="仿宋_GB2312" w:hAnsi="仿宋_GB2312" w:cs="仿宋_GB2312" w:eastAsia="仿宋_GB2312"/>
              </w:rPr>
              <w:t>具备远程访问接口；满足多个给定测量数据之间的比较；满足高级标记，用于数据处理，数据分析，多数据，多曲线交叉参考；满足自动连续应变监测</w:t>
            </w:r>
            <w:r>
              <w:rPr>
                <w:rFonts w:ascii="仿宋_GB2312" w:hAnsi="仿宋_GB2312" w:cs="仿宋_GB2312" w:eastAsia="仿宋_GB2312"/>
              </w:rPr>
              <w:t>。</w:t>
            </w:r>
            <w:r>
              <w:rPr>
                <w:rFonts w:ascii="仿宋_GB2312" w:hAnsi="仿宋_GB2312" w:cs="仿宋_GB2312" w:eastAsia="仿宋_GB2312"/>
              </w:rPr>
              <w:t xml:space="preserve"> </w:t>
            </w:r>
          </w:p>
          <w:p>
            <w:pPr>
              <w:pStyle w:val="null3"/>
            </w:pPr>
            <w:r>
              <w:rPr>
                <w:rFonts w:ascii="仿宋_GB2312" w:hAnsi="仿宋_GB2312" w:cs="仿宋_GB2312" w:eastAsia="仿宋_GB2312"/>
              </w:rPr>
              <w:t>11.</w:t>
            </w:r>
            <w:r>
              <w:rPr>
                <w:rFonts w:ascii="仿宋_GB2312" w:hAnsi="仿宋_GB2312" w:cs="仿宋_GB2312" w:eastAsia="仿宋_GB2312"/>
              </w:rPr>
              <w:t xml:space="preserve"> </w:t>
            </w:r>
            <w:r>
              <w:rPr>
                <w:rFonts w:ascii="仿宋_GB2312" w:hAnsi="仿宋_GB2312" w:cs="仿宋_GB2312" w:eastAsia="仿宋_GB2312"/>
              </w:rPr>
              <w:t>光系统容许最大损失：</w:t>
            </w:r>
            <w:r>
              <w:rPr>
                <w:rFonts w:ascii="仿宋_GB2312" w:hAnsi="仿宋_GB2312" w:cs="仿宋_GB2312" w:eastAsia="仿宋_GB2312"/>
              </w:rPr>
              <w:t>12dB；测量距离范围≤50m时，最短测量时间≤30秒；最小脉冲宽度：0.2ns；提供至少3次返原厂维修（费用包含在报价中）；具备可拓展通道功能，拓展后通道数≥2。</w:t>
            </w:r>
          </w:p>
          <w:p>
            <w:pPr>
              <w:pStyle w:val="null3"/>
            </w:pPr>
            <w:r>
              <w:rPr>
                <w:rFonts w:ascii="仿宋_GB2312" w:hAnsi="仿宋_GB2312" w:cs="仿宋_GB2312" w:eastAsia="仿宋_GB2312"/>
              </w:rPr>
              <w:t>12.</w:t>
            </w:r>
            <w:r>
              <w:rPr>
                <w:rFonts w:ascii="仿宋_GB2312" w:hAnsi="仿宋_GB2312" w:cs="仿宋_GB2312" w:eastAsia="仿宋_GB2312"/>
              </w:rPr>
              <w:t>配置要求：相关配套的数据采集模块（运行内存</w:t>
            </w:r>
            <w:r>
              <w:rPr>
                <w:rFonts w:ascii="仿宋_GB2312" w:hAnsi="仿宋_GB2312" w:cs="仿宋_GB2312" w:eastAsia="仿宋_GB2312"/>
              </w:rPr>
              <w:t>32G×2，固态内存2T，机械硬盘5T×2）；相关配套的数据处理模块（CPU R7 9800X3D,GPU 5070ti，运行内存32G×2，固态内存2T，机械硬盘5T×2）；熔接机1台；切割刀2个；设备验收用单模2mm铠装光缆不少</w:t>
            </w:r>
            <w:r>
              <w:rPr>
                <w:rFonts w:ascii="仿宋_GB2312" w:hAnsi="仿宋_GB2312" w:cs="仿宋_GB2312" w:eastAsia="仿宋_GB2312"/>
              </w:rPr>
              <w:t>于25公里，光纤跳线FC/APC接头20根；相关附件（包含用户手册1个，测试报告1个，光纤跳线接头清洁器1个，校准单元1套）。</w:t>
            </w:r>
          </w:p>
          <w:p>
            <w:pPr>
              <w:pStyle w:val="null3"/>
            </w:pPr>
            <w:r>
              <w:rPr>
                <w:rFonts w:ascii="仿宋_GB2312" w:hAnsi="仿宋_GB2312" w:cs="仿宋_GB2312" w:eastAsia="仿宋_GB2312"/>
              </w:rPr>
              <w:t>注：以上配置为最低要求。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一次性付清”为系统固定推述内容，具体付款方式以下列内容为准：（一）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二）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质保期：设备验收合格后一年。 售后服务响应时间（质保期内）：即时响应（包括电话响应）24小时电话应答；电话响应无法解决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六、根据法律规定中标公告只公布主要标的的名称、品牌、规格型号、数量、单价，本项目主要标的为：核心产品。 七、其他备注说明（因本项目使用电子招投标系统，格式无法调整，招标文件中其他部分与本部分不一致时以本部分要求为准）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注：以上②-③项，提供“陕西省政府采购供应商信用承诺书”的，可不再提供其他证明文件。供应商需在项目电子化交易系统中按要求填写《投标函》并上传相应证明文件并进行电子签章。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法定代表人参加投标的，须出示身份证；法定代表人授权他人参加投标的，须提供法定代表人授权委托书、被授权人身份证。</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 ②投标人以前完成类似规模项目与类似价格的业绩证明材料（合同、发票）。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或未在规定时间提交上述①②材料的或者提供的材料不齐全的或者提供的材料不被专家认可的，评标委员会均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(1)投标文件未按照招标文件规定要求签署、盖章的；(2)不满足本招标文件中“交货时间、交货地点、支付方式、支付约定、3.5其他要求中的第三条、第四条的实质性条款要求的； (3)文件有效期不足的或无有效期的； (4)报价超过招标文件中规定的最高限价的；(5)法律、法规和招标文件规定的其他无效情形。</w:t>
            </w:r>
          </w:p>
        </w:tc>
        <w:tc>
          <w:tcPr>
            <w:tcW w:type="dxa" w:w="1661"/>
          </w:tcPr>
          <w:p>
            <w:pPr>
              <w:pStyle w:val="null3"/>
            </w:pPr>
            <w:r>
              <w:rPr>
                <w:rFonts w:ascii="仿宋_GB2312" w:hAnsi="仿宋_GB2312" w:cs="仿宋_GB2312" w:eastAsia="仿宋_GB2312"/>
              </w:rPr>
              <w:t>开标一览表 2资格证明文件.docx 中小企业声明函 商务应答表.docx 16其他资料.docx 投标函 4技术响应与偏离表.docx 残疾人福利性单位声明函 标的清单 1分项价格表.docx 投标文件封面 3承诺书.docx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完全符合、响应招标文件第六章“采购需求技术要求”，没有负偏离计21分；★一项不满足按无效文件处理；标注“▲”参数为重要技术指标，每负偏离一项扣3分；未标注“▲”“★”参数每负偏离一项扣1分。 备注： 1.标注“★”“▲”参数必须提供佐证材料，否则视为负偏离。 2.佐证材料： 2.1提供相关检测报告或产品彩页等佐证材料。 2.2检测报告或产品彩页中无法体现的技术参数的须提供由制造商加盖公章的产品证明材料。产品证明材料包括但不限于产品官网截图或产品技术规格说明书等。 3.所有产品完全复制招标文件技术指标要求的，给予10分扣分。 4.▲指标出现50%以上负偏离的则按无效文件处理。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整体实施及验收方案</w:t>
            </w:r>
          </w:p>
        </w:tc>
        <w:tc>
          <w:tcPr>
            <w:tcW w:type="dxa" w:w="2492"/>
          </w:tcPr>
          <w:p>
            <w:pPr>
              <w:pStyle w:val="null3"/>
            </w:pPr>
            <w:r>
              <w:rPr>
                <w:rFonts w:ascii="仿宋_GB2312" w:hAnsi="仿宋_GB2312" w:cs="仿宋_GB2312" w:eastAsia="仿宋_GB2312"/>
              </w:rPr>
              <w:t>针对本项目需求，投标人提供包括但不限于①实施方案；②验收方案；③重点、难点分析及解决方案；④残缺补救更换措施。 完全满足招标文件要求，无瑕疵：6分； 方案内容存在1处瑕疵：5分； 方案内容存在2处瑕疵：4分； 方案内容存在3处瑕疵：3分； 方案内容存在4处瑕疵：2分； 方案内容存在5处瑕疵：1分； 未提供方案或内容存在6处及以上瑕疵：0分。 1、评分项所称“瑕疵”是指存在以下任一种情形：（1）泛泛而谈，不明确具体、不量化细化，未落到实处，容易导致项目实施过程产生争议；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 （本表所有对于瑕疵定义的内容“同理”）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5整体实施及验收方案.docx</w:t>
            </w:r>
          </w:p>
        </w:tc>
      </w:tr>
      <w:tr>
        <w:tc>
          <w:tcPr>
            <w:tcW w:type="dxa" w:w="831"/>
            <w:vMerge/>
          </w:tcPr>
          <w:p/>
        </w:tc>
        <w:tc>
          <w:tcPr>
            <w:tcW w:type="dxa" w:w="1661"/>
          </w:tcPr>
          <w:p>
            <w:pPr>
              <w:pStyle w:val="null3"/>
            </w:pPr>
            <w:r>
              <w:rPr>
                <w:rFonts w:ascii="仿宋_GB2312" w:hAnsi="仿宋_GB2312" w:cs="仿宋_GB2312" w:eastAsia="仿宋_GB2312"/>
              </w:rPr>
              <w:t>核心目标</w:t>
            </w:r>
          </w:p>
        </w:tc>
        <w:tc>
          <w:tcPr>
            <w:tcW w:type="dxa" w:w="2492"/>
          </w:tcPr>
          <w:p>
            <w:pPr>
              <w:pStyle w:val="null3"/>
            </w:pPr>
            <w:r>
              <w:rPr>
                <w:rFonts w:ascii="仿宋_GB2312" w:hAnsi="仿宋_GB2312" w:cs="仿宋_GB2312" w:eastAsia="仿宋_GB2312"/>
              </w:rPr>
              <w:t>1.核心目标中针对满足核心目标应用场景的最小空间分辨率，按其响应程度： （1）最小空间分辨率：0-2cm（BOTDA模式），最小空间分辨率对应测量距离≥0.5km，计6分； （2）最小空间分辨率：大于2小于等于5cm（BOTDA模式），最小空间分辨率对应测量距离≥1km，计3分； （3)最小空间分辨率：大于5小于等于25cm（BOTDA模式），最小空间分辨率对应测量距离≥5km，计1分。 2.核心目标中的最小采样间隔，按其响应程度： (1)最小采样间隔：0-1cm，计5分； (2)最小采样间隔：大于1小于等于2cm，计3分； (3)最小采样间隔：大于2小于等于10cm，计1分。 此项满分11分。 注： ①投标人根据招标文件3.1.3应用场景要求，提供针对核心目标中对应指标（最小空间分辨率、最小采样间隔）的技术证明资料及其应用案例； ②应用案例里需体现对应指标（最小空间分辨率、最小采样间隔）以及该指标的完整实现路径和结果； ③应用案例和技术证明资料均需加盖厂家公章或国内总代理商公章；（加盖总代理商公章的须出具有效授权权限的相关证明文件，证明文件须能显示产品制造厂家对所投产品授权链条的完整性） ④供应商不满足①②③项任意一项的，均不予计分。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6核心目标.docx</w:t>
            </w:r>
          </w:p>
        </w:tc>
      </w:tr>
      <w:tr>
        <w:tc>
          <w:tcPr>
            <w:tcW w:type="dxa" w:w="831"/>
            <w:vMerge/>
          </w:tcPr>
          <w:p/>
        </w:tc>
        <w:tc>
          <w:tcPr>
            <w:tcW w:type="dxa" w:w="1661"/>
          </w:tcPr>
          <w:p>
            <w:pPr>
              <w:pStyle w:val="null3"/>
            </w:pPr>
            <w:r>
              <w:rPr>
                <w:rFonts w:ascii="仿宋_GB2312" w:hAnsi="仿宋_GB2312" w:cs="仿宋_GB2312" w:eastAsia="仿宋_GB2312"/>
              </w:rPr>
              <w:t>备货、供货进度保障方案</w:t>
            </w:r>
          </w:p>
        </w:tc>
        <w:tc>
          <w:tcPr>
            <w:tcW w:type="dxa" w:w="2492"/>
          </w:tcPr>
          <w:p>
            <w:pPr>
              <w:pStyle w:val="null3"/>
            </w:pPr>
            <w:r>
              <w:rPr>
                <w:rFonts w:ascii="仿宋_GB2312" w:hAnsi="仿宋_GB2312" w:cs="仿宋_GB2312" w:eastAsia="仿宋_GB2312"/>
              </w:rPr>
              <w:t>投标人针对本项目提供供货组织安排、进度安排，并具有财力调配、运输、派送措施及保障方案。 完全满足招标文件要求，无瑕疵：3分；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7备货、供货进度保障方案.docx</w:t>
            </w:r>
          </w:p>
        </w:tc>
      </w:tr>
      <w:tr>
        <w:tc>
          <w:tcPr>
            <w:tcW w:type="dxa" w:w="831"/>
            <w:vMerge/>
          </w:tcPr>
          <w:p/>
        </w:tc>
        <w:tc>
          <w:tcPr>
            <w:tcW w:type="dxa" w:w="1661"/>
          </w:tcPr>
          <w:p>
            <w:pPr>
              <w:pStyle w:val="null3"/>
            </w:pPr>
            <w:r>
              <w:rPr>
                <w:rFonts w:ascii="仿宋_GB2312" w:hAnsi="仿宋_GB2312" w:cs="仿宋_GB2312" w:eastAsia="仿宋_GB2312"/>
              </w:rPr>
              <w:t>产品质量保障方案</w:t>
            </w:r>
          </w:p>
        </w:tc>
        <w:tc>
          <w:tcPr>
            <w:tcW w:type="dxa" w:w="2492"/>
          </w:tcPr>
          <w:p>
            <w:pPr>
              <w:pStyle w:val="null3"/>
            </w:pPr>
            <w:r>
              <w:rPr>
                <w:rFonts w:ascii="仿宋_GB2312" w:hAnsi="仿宋_GB2312" w:cs="仿宋_GB2312" w:eastAsia="仿宋_GB2312"/>
              </w:rPr>
              <w:t>投标人针对本项目提供所投产品的整体配置情况，产品品牌、型号、产地明确并提供相关证明材料。并提供设备质量保障方案。 满足招标文件要求，无瑕疵：5分； 方案内容存在1处瑕疵：4分； 方案内容存在2处瑕疵：3分； 方案内容存在3处瑕疵：2分； 方案内容存在4处瑕疵：1分； 未提供方案或内容存在5处及以上瑕疵：0分。 备注：在投标文件中需附设备厂家加工车间和加工设备和质量控制内控制度的证明资料，否则此项不得分。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8产品质量保障方案.docx</w:t>
            </w:r>
          </w:p>
        </w:tc>
      </w:tr>
      <w:tr>
        <w:tc>
          <w:tcPr>
            <w:tcW w:type="dxa" w:w="831"/>
            <w:vMerge/>
          </w:tcPr>
          <w:p/>
        </w:tc>
        <w:tc>
          <w:tcPr>
            <w:tcW w:type="dxa" w:w="1661"/>
          </w:tcPr>
          <w:p>
            <w:pPr>
              <w:pStyle w:val="null3"/>
            </w:pPr>
            <w:r>
              <w:rPr>
                <w:rFonts w:ascii="仿宋_GB2312" w:hAnsi="仿宋_GB2312" w:cs="仿宋_GB2312" w:eastAsia="仿宋_GB2312"/>
              </w:rPr>
              <w:t>人员配备及责任制度</w:t>
            </w:r>
          </w:p>
        </w:tc>
        <w:tc>
          <w:tcPr>
            <w:tcW w:type="dxa" w:w="2492"/>
          </w:tcPr>
          <w:p>
            <w:pPr>
              <w:pStyle w:val="null3"/>
            </w:pPr>
            <w:r>
              <w:rPr>
                <w:rFonts w:ascii="仿宋_GB2312" w:hAnsi="仿宋_GB2312" w:cs="仿宋_GB2312" w:eastAsia="仿宋_GB2312"/>
              </w:rPr>
              <w:t>投标人需提供合理的人员配备清单、岗位划分及人员管理责任制度，拟投入人员分工及职责明确，能保障项目顺利实施。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9人员配备及责任制度.docx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投标人针对本项目提供详尽的培训方案及培训计划，并列出培训的具体内容及方式，确保使用人员能够独立熟练操作、维护和正常使用。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设备合法来源渠道证明文件，要求有质量保证，技术资料齐全，无产权纠纷。所投产品为进口产品的，须提供所投产品厂家授权书或总代理商授权书（提供总代理商授权书的须出具有效授权权限的相关证明文件，证明文件须能显示产品制造厂家对所投产品授权链条的完整性）；所投产品为国产产品的，提供包括但不限于销售协议或代理协议或原厂授权等证明材料，提供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12质保期.docx</w:t>
            </w:r>
          </w:p>
        </w:tc>
      </w:tr>
      <w:tr>
        <w:tc>
          <w:tcPr>
            <w:tcW w:type="dxa" w:w="831"/>
            <w:vMerge/>
          </w:tcPr>
          <w:p/>
        </w:tc>
        <w:tc>
          <w:tcPr>
            <w:tcW w:type="dxa" w:w="1661"/>
          </w:tcPr>
          <w:p>
            <w:pPr>
              <w:pStyle w:val="null3"/>
            </w:pPr>
            <w:r>
              <w:rPr>
                <w:rFonts w:ascii="仿宋_GB2312" w:hAnsi="仿宋_GB2312" w:cs="仿宋_GB2312" w:eastAsia="仿宋_GB2312"/>
              </w:rPr>
              <w:t>售后服务机构</w:t>
            </w:r>
          </w:p>
        </w:tc>
        <w:tc>
          <w:tcPr>
            <w:tcW w:type="dxa" w:w="2492"/>
          </w:tcPr>
          <w:p>
            <w:pPr>
              <w:pStyle w:val="null3"/>
            </w:pPr>
            <w:r>
              <w:rPr>
                <w:rFonts w:ascii="仿宋_GB2312" w:hAnsi="仿宋_GB2312" w:cs="仿宋_GB2312" w:eastAsia="仿宋_GB2312"/>
              </w:rPr>
              <w:t>投标人售后服务机构健全，能够提供及时有效的售后服务。提供办公场所租赁合同或售后服务合作合同的得2分。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13售后服务机构.docx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投标人提供详细的售后服务方案。 （1）故障响应解决时间、售后服务效率：能够针对不同产品类型故障发生后，有详细的到达现场时间、解决时间、对应补救措施等售后方案。 （2）提供所投产品质量保证期内及质量保证期期满之后售后服务响应、维修及质保期满后维修的收费情况等售后方案。 （3）提供针对所投产品的备品、配件质量保证期内及质量保证期期满之后售后服务方案（包括但不限于质保期内、外承诺，提供齐全的备品、备件清单），产品附属配件供应渠道通畅。 （4）售后服务人员配置情况：投标人明确针对本项目售后服务人员配置，提供相关专业人员配置清单。包括但不限于姓名、学历证明、工作经验证明等。 每响应以上1项满足要求的内容得1分，满分4分； 备注：未提供或未按照要求提供方案/承诺或方案/承诺内容不完整的均不得分。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14售后方案.docx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提供投标人2022年1月1日至今同类项目完整业绩材料，每提供一份完整业绩计1分，满分4分。（以合同签订日期为准） 备注：一份完整的业绩包括：中标公告截图/中标通知书、完整页码连续的合同文本、验收报告。</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价格分统一采用低价优先法计算，即满足招标文件要求且价格最低的投标报价为评标基准价，其价格分为满分。其他投标人的价格分统一按照下列公式计算：价格分=（评标基准价/投标报价）×报价分值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详见附件：5整体实施及验收方案.docx</w:t>
      </w:r>
    </w:p>
    <w:p>
      <w:pPr>
        <w:pStyle w:val="null3"/>
        <w:ind w:firstLine="960"/>
      </w:pPr>
      <w:r>
        <w:rPr>
          <w:rFonts w:ascii="仿宋_GB2312" w:hAnsi="仿宋_GB2312" w:cs="仿宋_GB2312" w:eastAsia="仿宋_GB2312"/>
        </w:rPr>
        <w:t>详见附件：6核心目标.docx</w:t>
      </w:r>
    </w:p>
    <w:p>
      <w:pPr>
        <w:pStyle w:val="null3"/>
        <w:ind w:firstLine="960"/>
      </w:pPr>
      <w:r>
        <w:rPr>
          <w:rFonts w:ascii="仿宋_GB2312" w:hAnsi="仿宋_GB2312" w:cs="仿宋_GB2312" w:eastAsia="仿宋_GB2312"/>
        </w:rPr>
        <w:t>详见附件：7备货、供货进度保障方案.docx</w:t>
      </w:r>
    </w:p>
    <w:p>
      <w:pPr>
        <w:pStyle w:val="null3"/>
        <w:ind w:firstLine="960"/>
      </w:pPr>
      <w:r>
        <w:rPr>
          <w:rFonts w:ascii="仿宋_GB2312" w:hAnsi="仿宋_GB2312" w:cs="仿宋_GB2312" w:eastAsia="仿宋_GB2312"/>
        </w:rPr>
        <w:t>详见附件：8产品质量保障方案.docx</w:t>
      </w:r>
    </w:p>
    <w:p>
      <w:pPr>
        <w:pStyle w:val="null3"/>
        <w:ind w:firstLine="960"/>
      </w:pPr>
      <w:r>
        <w:rPr>
          <w:rFonts w:ascii="仿宋_GB2312" w:hAnsi="仿宋_GB2312" w:cs="仿宋_GB2312" w:eastAsia="仿宋_GB2312"/>
        </w:rPr>
        <w:t>详见附件：9人员配备及责任制度.docx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详见附件：12质保期.docx</w:t>
      </w:r>
    </w:p>
    <w:p>
      <w:pPr>
        <w:pStyle w:val="null3"/>
        <w:ind w:firstLine="960"/>
      </w:pPr>
      <w:r>
        <w:rPr>
          <w:rFonts w:ascii="仿宋_GB2312" w:hAnsi="仿宋_GB2312" w:cs="仿宋_GB2312" w:eastAsia="仿宋_GB2312"/>
        </w:rPr>
        <w:t>详见附件：13售后服务机构.docx</w:t>
      </w:r>
    </w:p>
    <w:p>
      <w:pPr>
        <w:pStyle w:val="null3"/>
        <w:ind w:firstLine="960"/>
      </w:pPr>
      <w:r>
        <w:rPr>
          <w:rFonts w:ascii="仿宋_GB2312" w:hAnsi="仿宋_GB2312" w:cs="仿宋_GB2312" w:eastAsia="仿宋_GB2312"/>
        </w:rPr>
        <w:t>详见附件：14售后方案.docx</w:t>
      </w:r>
    </w:p>
    <w:p>
      <w:pPr>
        <w:pStyle w:val="null3"/>
        <w:ind w:firstLine="960"/>
      </w:pPr>
      <w:r>
        <w:rPr>
          <w:rFonts w:ascii="仿宋_GB2312" w:hAnsi="仿宋_GB2312" w:cs="仿宋_GB2312" w:eastAsia="仿宋_GB2312"/>
        </w:rPr>
        <w:t>详见附件：15节能环保.docx</w:t>
      </w:r>
    </w:p>
    <w:p>
      <w:pPr>
        <w:pStyle w:val="null3"/>
        <w:ind w:firstLine="960"/>
      </w:pPr>
      <w:r>
        <w:rPr>
          <w:rFonts w:ascii="仿宋_GB2312" w:hAnsi="仿宋_GB2312" w:cs="仿宋_GB2312" w:eastAsia="仿宋_GB2312"/>
        </w:rPr>
        <w:t>详见附件：16其他资料.docx</w:t>
      </w:r>
    </w:p>
    <w:p>
      <w:pPr>
        <w:pStyle w:val="null3"/>
        <w:ind w:firstLine="960"/>
      </w:pPr>
      <w:r>
        <w:rPr>
          <w:rFonts w:ascii="仿宋_GB2312" w:hAnsi="仿宋_GB2312" w:cs="仿宋_GB2312" w:eastAsia="仿宋_GB2312"/>
        </w:rPr>
        <w:t>详见附件：17业绩.docx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