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版本号：【KRDL】K4-250816620251127003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纳米高光谱显微成像系统采购项目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【KRDL】K4-2508166</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纳米高光谱显微成像系统采购项目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【KRDL】K4-2508166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纳米高光谱显微成像系统采购项目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本项目拟采购1套纳米高光谱显微成像系统，具体采购内容及要求详见招标文件。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1、主体资格：投标人应为向招标人提供相关货物的法人或其他组织；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5、是否面向中小企业采购：本项目不专门面向中小企业采购。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代光艳、姚瑶、刘如拉、贾亚妮、王昭、刘昆、张晨、王森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说明：（1）中标人中标后凭中标通知书向招标人缴纳合同金额的5%作为履约保证金； （2）履约保证金应使用人民币，可选择使用银行转账、支票、汇票、本票或者金融机构、担保机构出具的保函等非现金形式缴纳或提交； （3）招标人验收合格后，中标人提出书面申请，招标人将履约保证金（无息）退还中标人。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857号）的有关规定标准下浮35%向采购代理机构一次付清代理服务费。备注：在对招标代理服务费或者投标保证金转账时需备注项目名称及采购包名称+招标代理服务费或投标保证金。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联系人：刘如拉、代光艳</w:t>
      </w:r>
    </w:p>
    <w:p>
      <w:pPr>
        <w:pStyle w:val="null3"/>
      </w:pPr>
      <w:r>
        <w:rPr>
          <w:rFonts w:ascii="仿宋_GB2312" w:hAnsi="仿宋_GB2312" w:cs="仿宋_GB2312" w:eastAsia="仿宋_GB2312"/>
        </w:rPr>
        <w:t>联系电话：029-89581863、15229797656、17302920968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本项目拟采购1套纳米高光谱显微成像系统。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3,800,000.00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纳米高光谱显微成像系统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标的名称：纳米高光谱显微成像系统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244"/>
              <w:gridCol w:w="1284"/>
              <w:gridCol w:w="469"/>
              <w:gridCol w:w="251"/>
            </w:tblGrid>
            <w:tr>
              <w:tc>
                <w:tcPr>
                  <w:tcW w:type="dxa" w:w="167"/>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序号</w:t>
                  </w:r>
                </w:p>
              </w:tc>
              <w:tc>
                <w:tcPr>
                  <w:tcW w:type="dxa" w:w="24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名称</w:t>
                  </w:r>
                </w:p>
              </w:tc>
              <w:tc>
                <w:tcPr>
                  <w:tcW w:type="dxa" w:w="128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技术参数</w:t>
                  </w:r>
                </w:p>
              </w:tc>
              <w:tc>
                <w:tcPr>
                  <w:tcW w:type="dxa" w:w="469"/>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配置要求</w:t>
                  </w:r>
                </w:p>
              </w:tc>
              <w:tc>
                <w:tcPr>
                  <w:tcW w:type="dxa" w:w="251"/>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/单位</w:t>
                  </w:r>
                </w:p>
              </w:tc>
            </w:tr>
            <w:tr>
              <w:tc>
                <w:tcPr>
                  <w:tcW w:type="dxa" w:w="16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24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纳米高光谱显微成像系统</w:t>
                  </w:r>
                </w:p>
              </w:tc>
              <w:tc>
                <w:tcPr>
                  <w:tcW w:type="dxa" w:w="12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ind w:firstLine="482"/>
                    <w:jc w:val="left"/>
                  </w:pPr>
                  <w:r>
                    <w:rPr>
                      <w:rFonts w:ascii="仿宋_GB2312" w:hAnsi="仿宋_GB2312" w:cs="仿宋_GB2312" w:eastAsia="仿宋_GB2312"/>
                      <w:sz w:val="24"/>
                      <w:b/>
                      <w:color w:val="000000"/>
                    </w:rPr>
                    <w:t>（一）纳米级超高分辨率照明系统</w:t>
                  </w:r>
                </w:p>
                <w:p>
                  <w:pPr>
                    <w:pStyle w:val="null3"/>
                    <w:ind w:firstLine="480"/>
                    <w:jc w:val="left"/>
                  </w:pPr>
                  <w:r>
                    <w:rPr>
                      <w:rFonts w:ascii="仿宋_GB2312" w:hAnsi="仿宋_GB2312" w:cs="仿宋_GB2312" w:eastAsia="仿宋_GB2312"/>
                      <w:sz w:val="24"/>
                      <w:color w:val="000000"/>
                    </w:rPr>
                    <w:t>1.检测能力：光学成像直接检测下限为金属纳米颗粒≤10nm、聚合物颗粒≤80nm，</w:t>
                  </w:r>
                  <w:r>
                    <w:rPr>
                      <w:rFonts w:ascii="仿宋_GB2312" w:hAnsi="仿宋_GB2312" w:cs="仿宋_GB2312" w:eastAsia="仿宋_GB2312"/>
                      <w:sz w:val="24"/>
                      <w:color w:val="000000"/>
                    </w:rPr>
                    <w:t>无需借助荧光染色等辅助手段，</w:t>
                  </w:r>
                  <w:r>
                    <w:rPr>
                      <w:rFonts w:ascii="仿宋_GB2312" w:hAnsi="仿宋_GB2312" w:cs="仿宋_GB2312" w:eastAsia="仿宋_GB2312"/>
                      <w:sz w:val="24"/>
                      <w:color w:val="000000"/>
                    </w:rPr>
                    <w:t>支持动态长时间观察；</w:t>
                  </w:r>
                </w:p>
                <w:p>
                  <w:pPr>
                    <w:pStyle w:val="null3"/>
                    <w:ind w:firstLine="480"/>
                    <w:jc w:val="left"/>
                  </w:pPr>
                  <w:r>
                    <w:rPr>
                      <w:rFonts w:ascii="仿宋_GB2312" w:hAnsi="仿宋_GB2312" w:cs="仿宋_GB2312" w:eastAsia="仿宋_GB2312"/>
                      <w:sz w:val="24"/>
                      <w:color w:val="000000"/>
                    </w:rPr>
                    <w:t>2.聚光镜配置：配备圆弧形聚光镜（数值孔径 NA 1.2</w:t>
                  </w:r>
                  <w:r>
                    <w:rPr>
                      <w:rFonts w:ascii="仿宋_GB2312" w:hAnsi="仿宋_GB2312" w:cs="仿宋_GB2312" w:eastAsia="仿宋_GB2312"/>
                      <w:sz w:val="24"/>
                      <w:color w:val="000000"/>
                    </w:rPr>
                    <w:t>～</w:t>
                  </w:r>
                  <w:r>
                    <w:rPr>
                      <w:rFonts w:ascii="仿宋_GB2312" w:hAnsi="仿宋_GB2312" w:cs="仿宋_GB2312" w:eastAsia="仿宋_GB2312"/>
                      <w:sz w:val="24"/>
                      <w:color w:val="000000"/>
                    </w:rPr>
                    <w:t>1.4），可自动/手动</w:t>
                  </w:r>
                  <w:r>
                    <w:rPr>
                      <w:rFonts w:ascii="仿宋_GB2312" w:hAnsi="仿宋_GB2312" w:cs="仿宋_GB2312" w:eastAsia="仿宋_GB2312"/>
                      <w:sz w:val="24"/>
                      <w:color w:val="000000"/>
                    </w:rPr>
                    <w:t>调整均匀照明</w:t>
                  </w:r>
                  <w:r>
                    <w:rPr>
                      <w:rFonts w:ascii="仿宋_GB2312" w:hAnsi="仿宋_GB2312" w:cs="仿宋_GB2312" w:eastAsia="仿宋_GB2312"/>
                      <w:sz w:val="24"/>
                      <w:color w:val="000000"/>
                    </w:rPr>
                    <w:t>，用户手动调整时不降低照明质量；</w:t>
                  </w:r>
                </w:p>
                <w:p>
                  <w:pPr>
                    <w:pStyle w:val="null3"/>
                    <w:ind w:firstLine="480"/>
                    <w:jc w:val="left"/>
                  </w:pPr>
                  <w:r>
                    <w:rPr>
                      <w:rFonts w:ascii="仿宋_GB2312" w:hAnsi="仿宋_GB2312" w:cs="仿宋_GB2312" w:eastAsia="仿宋_GB2312"/>
                      <w:sz w:val="24"/>
                      <w:color w:val="000000"/>
                    </w:rPr>
                    <w:t>3.兼容性：显微成像平台，适配O型、C 型等主流聚光镜接口；</w:t>
                  </w:r>
                </w:p>
                <w:p>
                  <w:pPr>
                    <w:pStyle w:val="null3"/>
                    <w:ind w:firstLine="480"/>
                    <w:jc w:val="left"/>
                  </w:pPr>
                  <w:r>
                    <w:rPr>
                      <w:rFonts w:ascii="仿宋_GB2312" w:hAnsi="仿宋_GB2312" w:cs="仿宋_GB2312" w:eastAsia="仿宋_GB2312"/>
                      <w:sz w:val="24"/>
                      <w:color w:val="000000"/>
                    </w:rPr>
                    <w:t>4.结构参数：工作距离≥45mm，直径≥35mm；支持液导光纤接入，光纤直径≥5mm；</w:t>
                  </w:r>
                </w:p>
                <w:p>
                  <w:pPr>
                    <w:pStyle w:val="null3"/>
                    <w:ind w:firstLine="480"/>
                    <w:jc w:val="left"/>
                  </w:pPr>
                  <w:r>
                    <w:rPr>
                      <w:rFonts w:ascii="仿宋_GB2312" w:hAnsi="仿宋_GB2312" w:cs="仿宋_GB2312" w:eastAsia="仿宋_GB2312"/>
                      <w:sz w:val="24"/>
                      <w:color w:val="000000"/>
                    </w:rPr>
                    <w:t>5.信号性能：相对于标准暗场透视成像系统，信噪比可提升10倍。</w:t>
                  </w:r>
                </w:p>
                <w:p>
                  <w:pPr>
                    <w:pStyle w:val="null3"/>
                    <w:ind w:firstLine="482"/>
                    <w:jc w:val="left"/>
                  </w:pPr>
                  <w:r>
                    <w:rPr>
                      <w:rFonts w:ascii="仿宋_GB2312" w:hAnsi="仿宋_GB2312" w:cs="仿宋_GB2312" w:eastAsia="仿宋_GB2312"/>
                      <w:sz w:val="24"/>
                      <w:b/>
                      <w:color w:val="000000"/>
                    </w:rPr>
                    <w:t>（二）科研级增强型成像平台</w:t>
                  </w:r>
                </w:p>
                <w:p>
                  <w:pPr>
                    <w:pStyle w:val="null3"/>
                    <w:ind w:firstLine="480"/>
                    <w:jc w:val="left"/>
                  </w:pPr>
                  <w:r>
                    <w:rPr>
                      <w:rFonts w:ascii="仿宋_GB2312" w:hAnsi="仿宋_GB2312" w:cs="仿宋_GB2312" w:eastAsia="仿宋_GB2312"/>
                      <w:sz w:val="24"/>
                      <w:color w:val="000000"/>
                    </w:rPr>
                    <w:t>1.基础配置：三目镜筒，搭配2个15倍目镜；内置24mm十字线标尺；配备六孔转换器，支持多物镜快速切换；</w:t>
                  </w:r>
                </w:p>
                <w:p>
                  <w:pPr>
                    <w:pStyle w:val="null3"/>
                    <w:ind w:firstLine="480"/>
                    <w:jc w:val="left"/>
                  </w:pPr>
                  <w:r>
                    <w:rPr>
                      <w:rFonts w:ascii="仿宋_GB2312" w:hAnsi="仿宋_GB2312" w:cs="仿宋_GB2312" w:eastAsia="仿宋_GB2312"/>
                      <w:sz w:val="24"/>
                      <w:color w:val="000000"/>
                    </w:rPr>
                    <w:t>2.物镜系统：标配10倍、20倍平场消色差物镜，50倍、100倍平场消色差明场/暗场物镜，60倍油相物镜；</w:t>
                  </w:r>
                </w:p>
                <w:p>
                  <w:pPr>
                    <w:pStyle w:val="null3"/>
                    <w:ind w:firstLine="480"/>
                    <w:jc w:val="left"/>
                  </w:pPr>
                  <w:r>
                    <w:rPr>
                      <w:rFonts w:ascii="仿宋_GB2312" w:hAnsi="仿宋_GB2312" w:cs="仿宋_GB2312" w:eastAsia="仿宋_GB2312"/>
                      <w:sz w:val="24"/>
                      <w:color w:val="000000"/>
                    </w:rPr>
                    <w:t>3.切换与检测：双接口相机支架，支持图谱检测器与光学成像的无缝切换；搭载制冷检测器</w:t>
                  </w:r>
                  <w:r>
                    <w:rPr>
                      <w:rFonts w:ascii="仿宋_GB2312" w:hAnsi="仿宋_GB2312" w:cs="仿宋_GB2312" w:eastAsia="仿宋_GB2312"/>
                      <w:sz w:val="24"/>
                      <w:color w:val="000000"/>
                    </w:rPr>
                    <w:t>，可实现可见光至近红外区域高分辨图像采集及可见光区域录影，支持暗场成像模式。</w:t>
                  </w:r>
                </w:p>
                <w:p>
                  <w:pPr>
                    <w:pStyle w:val="null3"/>
                    <w:ind w:firstLine="482"/>
                    <w:jc w:val="left"/>
                  </w:pPr>
                  <w:r>
                    <w:rPr>
                      <w:rFonts w:ascii="仿宋_GB2312" w:hAnsi="仿宋_GB2312" w:cs="仿宋_GB2312" w:eastAsia="仿宋_GB2312"/>
                      <w:sz w:val="24"/>
                      <w:b/>
                      <w:color w:val="000000"/>
                    </w:rPr>
                    <w:t>（三）纳米高光谱影像分析系统</w:t>
                  </w:r>
                </w:p>
                <w:p>
                  <w:pPr>
                    <w:pStyle w:val="null3"/>
                    <w:ind w:firstLine="480"/>
                    <w:jc w:val="left"/>
                  </w:pPr>
                  <w:r>
                    <w:rPr>
                      <w:rFonts w:ascii="仿宋_GB2312" w:hAnsi="仿宋_GB2312" w:cs="仿宋_GB2312" w:eastAsia="仿宋_GB2312"/>
                      <w:sz w:val="24"/>
                      <w:color w:val="000000"/>
                    </w:rPr>
                    <w:t>1.核心组件：集成可见光至近红外光谱成像光谱仪与探测器系统；</w:t>
                  </w:r>
                </w:p>
                <w:p>
                  <w:pPr>
                    <w:pStyle w:val="null3"/>
                    <w:ind w:firstLine="480"/>
                    <w:jc w:val="left"/>
                  </w:pPr>
                  <w:r>
                    <w:rPr>
                      <w:rFonts w:ascii="仿宋_GB2312" w:hAnsi="仿宋_GB2312" w:cs="仿宋_GB2312" w:eastAsia="仿宋_GB2312"/>
                      <w:sz w:val="24"/>
                      <w:color w:val="000000"/>
                    </w:rPr>
                    <w:t>▲2.同一仪器可升级实现荧光、反射、透射、光致发光和电致发光的成像；</w:t>
                  </w:r>
                </w:p>
                <w:p>
                  <w:pPr>
                    <w:pStyle w:val="null3"/>
                    <w:ind w:firstLine="480"/>
                    <w:jc w:val="left"/>
                  </w:pPr>
                  <w:r>
                    <w:rPr>
                      <w:rFonts w:ascii="仿宋_GB2312" w:hAnsi="仿宋_GB2312" w:cs="仿宋_GB2312" w:eastAsia="仿宋_GB2312"/>
                      <w:sz w:val="24"/>
                      <w:color w:val="000000"/>
                    </w:rPr>
                    <w:t>3.追踪识别功能：配备自动化追踪与识别系统，追踪识别范围≥100mm×100mm；步进精度≤10nm，移动重复性≤0.3μm；</w:t>
                  </w:r>
                </w:p>
                <w:p>
                  <w:pPr>
                    <w:pStyle w:val="null3"/>
                    <w:ind w:firstLine="480"/>
                    <w:jc w:val="left"/>
                  </w:pPr>
                  <w:r>
                    <w:rPr>
                      <w:rFonts w:ascii="仿宋_GB2312" w:hAnsi="仿宋_GB2312" w:cs="仿宋_GB2312" w:eastAsia="仿宋_GB2312"/>
                      <w:sz w:val="24"/>
                      <w:color w:val="000000"/>
                    </w:rPr>
                    <w:t>▲4.支持Z轴全自动对焦追踪与识别，可消除色差，无需间断调整；</w:t>
                  </w:r>
                </w:p>
                <w:p>
                  <w:pPr>
                    <w:pStyle w:val="null3"/>
                    <w:ind w:firstLine="480"/>
                    <w:jc w:val="left"/>
                  </w:pPr>
                  <w:r>
                    <w:rPr>
                      <w:rFonts w:ascii="仿宋_GB2312" w:hAnsi="仿宋_GB2312" w:cs="仿宋_GB2312" w:eastAsia="仿宋_GB2312"/>
                      <w:sz w:val="24"/>
                      <w:color w:val="000000"/>
                    </w:rPr>
                    <w:t>5.纳米光谱采集器：</w:t>
                  </w:r>
                </w:p>
                <w:p>
                  <w:pPr>
                    <w:pStyle w:val="null3"/>
                    <w:ind w:firstLine="480"/>
                    <w:jc w:val="left"/>
                  </w:pPr>
                  <w:r>
                    <w:rPr>
                      <w:rFonts w:ascii="仿宋_GB2312" w:hAnsi="仿宋_GB2312" w:cs="仿宋_GB2312" w:eastAsia="仿宋_GB2312"/>
                      <w:sz w:val="24"/>
                      <w:color w:val="000000"/>
                    </w:rPr>
                    <w:t>5.1光谱响应范围：</w:t>
                  </w:r>
                  <w:r>
                    <w:rPr>
                      <w:rFonts w:ascii="仿宋_GB2312" w:hAnsi="仿宋_GB2312" w:cs="仿宋_GB2312" w:eastAsia="仿宋_GB2312"/>
                      <w:sz w:val="24"/>
                      <w:color w:val="000000"/>
                    </w:rPr>
                    <w:t>400～1600nm；</w:t>
                  </w:r>
                </w:p>
                <w:p>
                  <w:pPr>
                    <w:pStyle w:val="null3"/>
                    <w:ind w:firstLine="480"/>
                    <w:jc w:val="left"/>
                  </w:pPr>
                  <w:r>
                    <w:rPr>
                      <w:rFonts w:ascii="仿宋_GB2312" w:hAnsi="仿宋_GB2312" w:cs="仿宋_GB2312" w:eastAsia="仿宋_GB2312"/>
                      <w:sz w:val="24"/>
                      <w:color w:val="000000"/>
                    </w:rPr>
                    <w:t>5.2光谱分辨率：≤1.5nm，光谱带宽≤2.5nm；</w:t>
                  </w:r>
                </w:p>
                <w:p>
                  <w:pPr>
                    <w:pStyle w:val="null3"/>
                    <w:ind w:firstLine="480"/>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扫描范围：</w:t>
                  </w:r>
                  <w:r>
                    <w:rPr>
                      <w:rFonts w:ascii="仿宋_GB2312" w:hAnsi="仿宋_GB2312" w:cs="仿宋_GB2312" w:eastAsia="仿宋_GB2312"/>
                      <w:sz w:val="24"/>
                      <w:color w:val="000000"/>
                    </w:rPr>
                    <w:t>10倍物镜下≥896μm×896μm；</w:t>
                  </w:r>
                </w:p>
                <w:p>
                  <w:pPr>
                    <w:pStyle w:val="null3"/>
                    <w:ind w:firstLine="480"/>
                    <w:jc w:val="left"/>
                  </w:pPr>
                  <w:r>
                    <w:rPr>
                      <w:rFonts w:ascii="仿宋_GB2312" w:hAnsi="仿宋_GB2312" w:cs="仿宋_GB2312" w:eastAsia="仿宋_GB2312"/>
                      <w:sz w:val="24"/>
                      <w:color w:val="000000"/>
                    </w:rPr>
                    <w:t>5.4采集效率：帧率≥40fps；</w:t>
                  </w:r>
                </w:p>
                <w:p>
                  <w:pPr>
                    <w:pStyle w:val="null3"/>
                    <w:ind w:firstLine="480"/>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采用快速全局成像采集模式（非逐点或逐线扫描）；</w:t>
                  </w:r>
                </w:p>
                <w:p>
                  <w:pPr>
                    <w:pStyle w:val="null3"/>
                    <w:ind w:firstLine="480"/>
                    <w:jc w:val="left"/>
                  </w:pPr>
                  <w:r>
                    <w:rPr>
                      <w:rFonts w:ascii="仿宋_GB2312" w:hAnsi="仿宋_GB2312" w:cs="仿宋_GB2312" w:eastAsia="仿宋_GB2312"/>
                      <w:sz w:val="24"/>
                      <w:color w:val="000000"/>
                    </w:rPr>
                    <w:t>5.6分光设计：采用体布拉格光栅，分光效率≥90%；</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5.7可升级实现绝对光谱校准功能；</w:t>
                  </w:r>
                </w:p>
                <w:p>
                  <w:pPr>
                    <w:pStyle w:val="null3"/>
                    <w:ind w:firstLine="482"/>
                    <w:jc w:val="left"/>
                  </w:pPr>
                  <w:r>
                    <w:rPr>
                      <w:rFonts w:ascii="仿宋_GB2312" w:hAnsi="仿宋_GB2312" w:cs="仿宋_GB2312" w:eastAsia="仿宋_GB2312"/>
                      <w:sz w:val="24"/>
                      <w:b/>
                      <w:color w:val="000000"/>
                    </w:rPr>
                    <w:t>（四）纳米高光谱图像采集</w:t>
                  </w:r>
                  <w:r>
                    <w:rPr>
                      <w:rFonts w:ascii="仿宋_GB2312" w:hAnsi="仿宋_GB2312" w:cs="仿宋_GB2312" w:eastAsia="仿宋_GB2312"/>
                      <w:sz w:val="24"/>
                      <w:b/>
                      <w:color w:val="000000"/>
                    </w:rPr>
                    <w:t>系统</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1.配备纳米高光谱图像采集分析软件，支持</w:t>
                  </w:r>
                  <w:r>
                    <w:rPr>
                      <w:rFonts w:ascii="仿宋_GB2312" w:hAnsi="仿宋_GB2312" w:cs="仿宋_GB2312" w:eastAsia="仿宋_GB2312"/>
                      <w:sz w:val="24"/>
                      <w:color w:val="000000"/>
                    </w:rPr>
                    <w:t>≥3个</w:t>
                  </w:r>
                  <w:r>
                    <w:rPr>
                      <w:rFonts w:ascii="仿宋_GB2312" w:hAnsi="仿宋_GB2312" w:cs="仿宋_GB2312" w:eastAsia="仿宋_GB2312"/>
                      <w:sz w:val="24"/>
                      <w:color w:val="000000"/>
                    </w:rPr>
                    <w:t>无加密授权（兼容多设备安装运行）；</w:t>
                  </w:r>
                </w:p>
                <w:p>
                  <w:pPr>
                    <w:pStyle w:val="null3"/>
                    <w:ind w:firstLine="480"/>
                    <w:jc w:val="left"/>
                  </w:pPr>
                  <w:r>
                    <w:rPr>
                      <w:rFonts w:ascii="仿宋_GB2312" w:hAnsi="仿宋_GB2312" w:cs="仿宋_GB2312" w:eastAsia="仿宋_GB2312"/>
                      <w:sz w:val="24"/>
                      <w:color w:val="000000"/>
                    </w:rPr>
                    <w:t>2.具备波长校正、配准校正功能；支持可见光、近红外及短波红外区域超光谱与图像采集，以及动态时间分辨超光谱图像收集；</w:t>
                  </w:r>
                </w:p>
                <w:p>
                  <w:pPr>
                    <w:pStyle w:val="null3"/>
                    <w:ind w:firstLine="480"/>
                    <w:jc w:val="left"/>
                  </w:pPr>
                  <w:r>
                    <w:rPr>
                      <w:rFonts w:ascii="仿宋_GB2312" w:hAnsi="仿宋_GB2312" w:cs="仿宋_GB2312" w:eastAsia="仿宋_GB2312"/>
                      <w:sz w:val="24"/>
                      <w:color w:val="000000"/>
                    </w:rPr>
                    <w:t>▲3.自定义</w:t>
                  </w:r>
                  <w:r>
                    <w:rPr>
                      <w:rFonts w:ascii="仿宋_GB2312" w:hAnsi="仿宋_GB2312" w:cs="仿宋_GB2312" w:eastAsia="仿宋_GB2312"/>
                      <w:sz w:val="24"/>
                      <w:color w:val="000000"/>
                    </w:rPr>
                    <w:t>≥</w:t>
                  </w:r>
                  <w:r>
                    <w:rPr>
                      <w:rFonts w:ascii="仿宋_GB2312" w:hAnsi="仿宋_GB2312" w:cs="仿宋_GB2312" w:eastAsia="仿宋_GB2312"/>
                      <w:sz w:val="24"/>
                      <w:color w:val="000000"/>
                    </w:rPr>
                    <w:t>5个感兴趣区域（ROI），实现区域内平均光谱的收集与处理（含加权、最大、最小等计算功能）；</w:t>
                  </w:r>
                </w:p>
                <w:p>
                  <w:pPr>
                    <w:pStyle w:val="null3"/>
                    <w:ind w:firstLine="480"/>
                    <w:jc w:val="left"/>
                  </w:pPr>
                  <w:r>
                    <w:rPr>
                      <w:rFonts w:ascii="仿宋_GB2312" w:hAnsi="仿宋_GB2312" w:cs="仿宋_GB2312" w:eastAsia="仿宋_GB2312"/>
                      <w:sz w:val="24"/>
                      <w:color w:val="000000"/>
                    </w:rPr>
                    <w:t>4.支持材料热致变色或相变过程的温度控制；</w:t>
                  </w:r>
                </w:p>
                <w:p>
                  <w:pPr>
                    <w:pStyle w:val="null3"/>
                    <w:ind w:firstLine="480"/>
                    <w:jc w:val="left"/>
                  </w:pPr>
                  <w:r>
                    <w:rPr>
                      <w:rFonts w:ascii="仿宋_GB2312" w:hAnsi="仿宋_GB2312" w:cs="仿宋_GB2312" w:eastAsia="仿宋_GB2312"/>
                      <w:sz w:val="24"/>
                      <w:color w:val="000000"/>
                    </w:rPr>
                    <w:t>5.多用户支持：可同时支持≥10家用户使用系统进行图像采集与分析。</w:t>
                  </w:r>
                </w:p>
                <w:p>
                  <w:pPr>
                    <w:pStyle w:val="null3"/>
                    <w:ind w:firstLine="482"/>
                    <w:jc w:val="left"/>
                  </w:pPr>
                  <w:r>
                    <w:rPr>
                      <w:rFonts w:ascii="仿宋_GB2312" w:hAnsi="仿宋_GB2312" w:cs="仿宋_GB2312" w:eastAsia="仿宋_GB2312"/>
                      <w:sz w:val="24"/>
                      <w:b/>
                      <w:color w:val="000000"/>
                    </w:rPr>
                    <w:t>（五）图像处理</w:t>
                  </w:r>
                  <w:r>
                    <w:rPr>
                      <w:rFonts w:ascii="仿宋_GB2312" w:hAnsi="仿宋_GB2312" w:cs="仿宋_GB2312" w:eastAsia="仿宋_GB2312"/>
                      <w:sz w:val="24"/>
                      <w:b/>
                      <w:color w:val="000000"/>
                    </w:rPr>
                    <w:t>系统</w:t>
                  </w:r>
                </w:p>
                <w:p>
                  <w:pPr>
                    <w:pStyle w:val="null3"/>
                    <w:ind w:firstLine="480"/>
                    <w:jc w:val="left"/>
                  </w:pPr>
                  <w:r>
                    <w:rPr>
                      <w:rFonts w:ascii="仿宋_GB2312" w:hAnsi="仿宋_GB2312" w:cs="仿宋_GB2312" w:eastAsia="仿宋_GB2312"/>
                      <w:sz w:val="24"/>
                      <w:color w:val="000000"/>
                    </w:rPr>
                    <w:t>1.硬件配置：CPU≥</w:t>
                  </w:r>
                  <w:r>
                    <w:rPr>
                      <w:rFonts w:ascii="仿宋_GB2312" w:hAnsi="仿宋_GB2312" w:cs="仿宋_GB2312" w:eastAsia="仿宋_GB2312"/>
                      <w:sz w:val="24"/>
                      <w:color w:val="000000"/>
                    </w:rPr>
                    <w:t>8</w:t>
                  </w:r>
                  <w:r>
                    <w:rPr>
                      <w:rFonts w:ascii="仿宋_GB2312" w:hAnsi="仿宋_GB2312" w:cs="仿宋_GB2312" w:eastAsia="仿宋_GB2312"/>
                      <w:sz w:val="24"/>
                      <w:color w:val="000000"/>
                    </w:rPr>
                    <w:t>核；</w:t>
                  </w:r>
                  <w:r>
                    <w:rPr>
                      <w:rFonts w:ascii="仿宋_GB2312" w:hAnsi="仿宋_GB2312" w:cs="仿宋_GB2312" w:eastAsia="仿宋_GB2312"/>
                      <w:sz w:val="24"/>
                      <w:color w:val="000000"/>
                    </w:rPr>
                    <w:t>固态硬盘</w:t>
                  </w:r>
                  <w:r>
                    <w:rPr>
                      <w:rFonts w:ascii="仿宋_GB2312" w:hAnsi="仿宋_GB2312" w:cs="仿宋_GB2312" w:eastAsia="仿宋_GB2312"/>
                      <w:sz w:val="24"/>
                      <w:color w:val="000000"/>
                    </w:rPr>
                    <w:t>≥1TB</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32</w:t>
                  </w:r>
                  <w:r>
                    <w:rPr>
                      <w:rFonts w:ascii="仿宋_GB2312" w:hAnsi="仿宋_GB2312" w:cs="仿宋_GB2312" w:eastAsia="仿宋_GB2312"/>
                      <w:sz w:val="24"/>
                      <w:color w:val="000000"/>
                    </w:rPr>
                    <w:t>GB；</w:t>
                  </w:r>
                </w:p>
                <w:p>
                  <w:pPr>
                    <w:pStyle w:val="null3"/>
                    <w:ind w:firstLine="480"/>
                    <w:jc w:val="left"/>
                  </w:pPr>
                  <w:r>
                    <w:rPr>
                      <w:rFonts w:ascii="仿宋_GB2312" w:hAnsi="仿宋_GB2312" w:cs="仿宋_GB2312" w:eastAsia="仿宋_GB2312"/>
                      <w:sz w:val="24"/>
                      <w:color w:val="000000"/>
                    </w:rPr>
                    <w:t>2.显示系统：≥</w:t>
                  </w:r>
                  <w:r>
                    <w:rPr>
                      <w:rFonts w:ascii="仿宋_GB2312" w:hAnsi="仿宋_GB2312" w:cs="仿宋_GB2312" w:eastAsia="仿宋_GB2312"/>
                      <w:sz w:val="24"/>
                      <w:color w:val="000000"/>
                    </w:rPr>
                    <w:t>27</w:t>
                  </w:r>
                  <w:r>
                    <w:rPr>
                      <w:rFonts w:ascii="仿宋_GB2312" w:hAnsi="仿宋_GB2312" w:cs="仿宋_GB2312" w:eastAsia="仿宋_GB2312"/>
                      <w:sz w:val="24"/>
                      <w:color w:val="000000"/>
                    </w:rPr>
                    <w:t>英寸彩色液晶显示器，配备双显示器；</w:t>
                  </w:r>
                </w:p>
              </w:tc>
              <w:tc>
                <w:tcPr>
                  <w:tcW w:type="dxa" w:w="46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1.纳米级超高分辨率照明系统，1套；</w:t>
                  </w:r>
                </w:p>
                <w:p>
                  <w:pPr>
                    <w:pStyle w:val="null3"/>
                    <w:jc w:val="left"/>
                  </w:pPr>
                  <w:r>
                    <w:rPr>
                      <w:rFonts w:ascii="仿宋_GB2312" w:hAnsi="仿宋_GB2312" w:cs="仿宋_GB2312" w:eastAsia="仿宋_GB2312"/>
                      <w:sz w:val="24"/>
                      <w:color w:val="000000"/>
                    </w:rPr>
                    <w:t>2.科研级增强型成像平台，1套；</w:t>
                  </w:r>
                </w:p>
                <w:p>
                  <w:pPr>
                    <w:pStyle w:val="null3"/>
                    <w:jc w:val="left"/>
                  </w:pPr>
                  <w:r>
                    <w:rPr>
                      <w:rFonts w:ascii="仿宋_GB2312" w:hAnsi="仿宋_GB2312" w:cs="仿宋_GB2312" w:eastAsia="仿宋_GB2312"/>
                      <w:sz w:val="24"/>
                      <w:color w:val="000000"/>
                    </w:rPr>
                    <w:t>3.纳米高光谱影像分析系统，1套；</w:t>
                  </w:r>
                </w:p>
                <w:p>
                  <w:pPr>
                    <w:pStyle w:val="null3"/>
                    <w:jc w:val="left"/>
                  </w:pPr>
                  <w:r>
                    <w:rPr>
                      <w:rFonts w:ascii="仿宋_GB2312" w:hAnsi="仿宋_GB2312" w:cs="仿宋_GB2312" w:eastAsia="仿宋_GB2312"/>
                      <w:sz w:val="24"/>
                      <w:color w:val="000000"/>
                    </w:rPr>
                    <w:t>4.纳米高光谱图像采集及分析工作站，1套；</w:t>
                  </w:r>
                </w:p>
                <w:p>
                  <w:pPr>
                    <w:pStyle w:val="null3"/>
                    <w:jc w:val="left"/>
                  </w:pPr>
                  <w:r>
                    <w:rPr>
                      <w:rFonts w:ascii="仿宋_GB2312" w:hAnsi="仿宋_GB2312" w:cs="仿宋_GB2312" w:eastAsia="仿宋_GB2312"/>
                      <w:sz w:val="24"/>
                      <w:color w:val="000000"/>
                    </w:rPr>
                    <w:t>5.图像处理工作站，1套</w:t>
                  </w:r>
                </w:p>
              </w:tc>
              <w:tc>
                <w:tcPr>
                  <w:tcW w:type="dxa" w:w="25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自合同签订之日起150个日历日内到货、安装调试并交付使用。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“一次性付清”为系统固定推述内容，具体付款方式以3.5其他要求列明的付款内容为准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招标人与中标人双方共同开箱验收。在检查设备原产地、规格、型号、配置等符合合同要求后，由中标人负责安装调试，招标人负责技术验收（中标人协助），验收标准以国内或同文本仪器设备详细配置清单中描述的有关技术要求为准。 2.由仪器制造厂技术人员到现场安装仪器并在用户实验室人员在场的情况下完成仪器设备性能的校准，并提供校准证书。 3.中标人安装调试完毕、正常运行后及时向招标人提出书面验收申请，招标人将组织人员对采购物品进行核查验收，核查验收时需出具经招标人确认的开箱验收报告，核查验收工作完成后签字确认。验收不合格的，限期整改；整改仍达不到要求的，作退货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1）质量保证期：验收合格通过之日起3年。 （2）质保期内产品质量问题，须予以维修或更换。 （3）在质保期内，中标人对投标产品提供巡检和维护保养。 （4）对质保期外的维修服务，中标人有偿负责设备的调试或更换已损坏的零部件。 （5）维修响应时间：中标人应具有完善的技术支持与服务体系，专人负责与采购人联系售后服务事宜，具有专门的服务电话，配置专门固定的售后服务电话，接到采购人通知后应2小时内响应，48小时内到达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1.付款方式：“一次性付清”为系统固定推述内容，具体付款方式以下列内容为准： （一）进口设备付款方式：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（3）采购人收到中标人委托的外贸代理机构开具的全额发票后及时向中标人委托的外贸代理机构支付合同总价款的100%。 （4）中标人在签订合同前须向采购人交纳中标金额的5%做为履约保证金，待验收合格后，无异议，供货商提交申请，使用部门签字确认后一次性无息退还 （二）国产设备付款方式： 方式一（仅限2025年12月15日前验收合格的国产产品项目）：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方式二（仅限2025年12月15日前无法验收合格的国产产品项目）：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2.所有设备安装、调试开始前，中标人负责按照招标人要求进行相关技术培训，每次培训不低于8小时，培训内容包含：设备的工作原理、设备结构、操作步骤、主要部件用途、消耗品更换、日常保养、硬件维护、故障排查等，并提供应用、技术支持及软/硬件升级。 3.培训目标：保证客户能够独立操作、熟练使用、维护和管理有关设备； 4.随机文件设备操作手册；中文或英文版，一套、专用分析软件（应用模块）光盘，一套；仪器硬件操作、维护手册，中文或英文版，一套。 5.投标人需要在线提交所有通过电子化交易平台实施的政府采购项目的投标文件，同时，线下提交纸质投标文件正本壹份、副本壹份，纸质投标文件正副本分别胶装，标明投标人名称密封递交，递交截止时间同在线递交电子投标文件截止时间一致，线下递交文件地点：开瑞项目管理有限公司（陕西省西安市莲湖区高新二路1号招商银行大厦19层，联系人：刘如拉、代光艳，联系电话：15229797656、17302920968）,若电子投标文件与纸质投标文件不一致的，以电子投标文件为准。 6.投标保证金注意事项 （1）投标保证金须从投标人户名支付，如从个人户名或非投标人户名支付，将被拒绝，视为自动放弃投标权利（该个人是投标人的情形除外）；投标人保证金缴纳时间：开标时间之前；以保函形式交纳投标保证金的，投标人应在投标截止时间前将保函上传至政府采购电子化交易平台，同时将保函扫描成清晰的PDF文件，发送至邮箱2973608682@qq.com（邮件命名：项目名称+项目编号）；投标人应在投标文件中附保函复印件。保函必须由具有开具投标保函资格的单位开具；若投标人违约，开具保函单位承担连带责任； （2）投标保证金的提交金额、时间不满足招标文件要求的，投标无效。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投标人应为向招标人提供相关货物的法人或其他组织；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（1）完全满足采购技术要求的，得45分； （2）技术参数标记为“▲”为重要技术条款，每负偏离一项扣4分，共计5项； （3）未标记“▲”技术指标每负偏离一项扣1分，扣完为止。 备注：1.所有产品完全复制招标文件技术指标要求的，给予10分扣分。2.标记“▲”指标必须提供以下佐证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根据投标人提供的组织保证措施（①组织机构方案；②专业服务团队情况及有关管理制度 ）进行评审，包括但不限于： 1.组织机构：组织机构完备，框架结构完整，运行机制有效的得0-1分； 2.服务团队及管理制度：服务团队人员充实、结构合理、均具备相应经验，管理制度完善，能有效保障项目实施的得0-1分；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组织保证措施.docx</w:t>
            </w:r>
          </w:p>
        </w:tc>
      </w:tr>
      <w:tr>
        <w:tc>
          <w:tcPr>
            <w:tcW w:type="dxa" w:w="831"/>
            <w:vMerge/>
          </w:tcPr>
          <w:p/>
        </w:tc>
        <w:tc>
          <w:tcPr>
            <w:tcW w:type="dxa" w:w="1661"/>
          </w:tcPr>
          <w:p>
            <w:pPr>
              <w:pStyle w:val="null3"/>
            </w:pPr>
            <w:r>
              <w:rPr>
                <w:rFonts w:ascii="仿宋_GB2312" w:hAnsi="仿宋_GB2312" w:cs="仿宋_GB2312" w:eastAsia="仿宋_GB2312"/>
              </w:rPr>
              <w:t>实施方案（1）①对产品打包、装卸的保护措施及运输工具配置情况：</w:t>
            </w:r>
          </w:p>
        </w:tc>
        <w:tc>
          <w:tcPr>
            <w:tcW w:type="dxa" w:w="2492"/>
          </w:tcPr>
          <w:p>
            <w:pPr>
              <w:pStyle w:val="null3"/>
            </w:pPr>
            <w:r>
              <w:rPr>
                <w:rFonts w:ascii="仿宋_GB2312" w:hAnsi="仿宋_GB2312" w:cs="仿宋_GB2312" w:eastAsia="仿宋_GB2312"/>
              </w:rPr>
              <w:t>产品打包、装卸保护措施方案完整详细，运输工具配置合理得当，具备合理性及可行性的得0-1分；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实施方案（1）②运输人员配置及运输过程中对产品的保护措施：</w:t>
            </w:r>
          </w:p>
        </w:tc>
        <w:tc>
          <w:tcPr>
            <w:tcW w:type="dxa" w:w="2492"/>
          </w:tcPr>
          <w:p>
            <w:pPr>
              <w:pStyle w:val="null3"/>
            </w:pPr>
            <w:r>
              <w:rPr>
                <w:rFonts w:ascii="仿宋_GB2312" w:hAnsi="仿宋_GB2312" w:cs="仿宋_GB2312" w:eastAsia="仿宋_GB2312"/>
              </w:rPr>
              <w:t>有专职运输人员，配置合理并附有人员配置表及详细信息，运输过程中对产品的保护措施全面合理可行，能完全保障运输过程中的质量安全的得0-1分；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实施方案（2）①安装调试标准：</w:t>
            </w:r>
          </w:p>
        </w:tc>
        <w:tc>
          <w:tcPr>
            <w:tcW w:type="dxa" w:w="2492"/>
          </w:tcPr>
          <w:p>
            <w:pPr>
              <w:pStyle w:val="null3"/>
            </w:pPr>
            <w:r>
              <w:rPr>
                <w:rFonts w:ascii="仿宋_GB2312" w:hAnsi="仿宋_GB2312" w:cs="仿宋_GB2312" w:eastAsia="仿宋_GB2312"/>
              </w:rPr>
              <w:t>提供安装调试方案，严格按照生产厂家出具的使用说明进行安装调试并提供相应标准的得0-1分；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实施方案（2）②安装调试工具配置情况：</w:t>
            </w:r>
          </w:p>
        </w:tc>
        <w:tc>
          <w:tcPr>
            <w:tcW w:type="dxa" w:w="2492"/>
          </w:tcPr>
          <w:p>
            <w:pPr>
              <w:pStyle w:val="null3"/>
            </w:pPr>
            <w:r>
              <w:rPr>
                <w:rFonts w:ascii="仿宋_GB2312" w:hAnsi="仿宋_GB2312" w:cs="仿宋_GB2312" w:eastAsia="仿宋_GB2312"/>
              </w:rPr>
              <w:t>配备的安装调试工具先进适配，安装调试人员具有专业性，且在安装调试方面具备充足的经验的，完全满足安装调试要求的得0-1分；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实施方案（2）③安装调试过程中对产品的保护措施：</w:t>
            </w:r>
          </w:p>
        </w:tc>
        <w:tc>
          <w:tcPr>
            <w:tcW w:type="dxa" w:w="2492"/>
          </w:tcPr>
          <w:p>
            <w:pPr>
              <w:pStyle w:val="null3"/>
            </w:pPr>
            <w:r>
              <w:rPr>
                <w:rFonts w:ascii="仿宋_GB2312" w:hAnsi="仿宋_GB2312" w:cs="仿宋_GB2312" w:eastAsia="仿宋_GB2312"/>
              </w:rPr>
              <w:t>在安装调试过程中的保护措施详细合理可行，保证对产品不会造成损坏的0-1分；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实施方案（3）①培训课程计划、大纲及设备使用培训方案</w:t>
            </w:r>
          </w:p>
        </w:tc>
        <w:tc>
          <w:tcPr>
            <w:tcW w:type="dxa" w:w="2492"/>
          </w:tcPr>
          <w:p>
            <w:pPr>
              <w:pStyle w:val="null3"/>
            </w:pPr>
            <w:r>
              <w:rPr>
                <w:rFonts w:ascii="仿宋_GB2312" w:hAnsi="仿宋_GB2312" w:cs="仿宋_GB2312" w:eastAsia="仿宋_GB2312"/>
              </w:rPr>
              <w:t>提供培训课程计划，列出培训的地点和时间，根据培训课程计划内容，根据设备使用培训方案内容得0-1分。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实施方案（3）②设备的原理和技术性能、操作维护方法、排除故障方法等培训方案</w:t>
            </w:r>
          </w:p>
        </w:tc>
        <w:tc>
          <w:tcPr>
            <w:tcW w:type="dxa" w:w="2492"/>
          </w:tcPr>
          <w:p>
            <w:pPr>
              <w:pStyle w:val="null3"/>
            </w:pPr>
            <w:r>
              <w:rPr>
                <w:rFonts w:ascii="仿宋_GB2312" w:hAnsi="仿宋_GB2312" w:cs="仿宋_GB2312" w:eastAsia="仿宋_GB2312"/>
              </w:rPr>
              <w:t>提供培训设备的原理和技术性能、操作维护方法、排除故障方法等培训方案，根据培训方案内容得0-1分。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实施方案（4）①售后服务机构及人员配置方案：</w:t>
            </w:r>
          </w:p>
        </w:tc>
        <w:tc>
          <w:tcPr>
            <w:tcW w:type="dxa" w:w="2492"/>
          </w:tcPr>
          <w:p>
            <w:pPr>
              <w:pStyle w:val="null3"/>
            </w:pPr>
            <w:r>
              <w:rPr>
                <w:rFonts w:ascii="仿宋_GB2312" w:hAnsi="仿宋_GB2312" w:cs="仿宋_GB2312" w:eastAsia="仿宋_GB2312"/>
              </w:rPr>
              <w:t>有投标人自己的维修服务机构，提供专职售后服务人员（提供专职人员身份证复印件及劳动合同）完全满足本项目需求，且配备的人员具有相关技能证书（提供相关技能证书）的得0-1分；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实施方案（4）②提供保修期外至全寿命周期内零配件及备品备件供应方案及提供所投产品制造商的售后服务承诺函：</w:t>
            </w:r>
          </w:p>
        </w:tc>
        <w:tc>
          <w:tcPr>
            <w:tcW w:type="dxa" w:w="2492"/>
          </w:tcPr>
          <w:p>
            <w:pPr>
              <w:pStyle w:val="null3"/>
            </w:pPr>
            <w:r>
              <w:rPr>
                <w:rFonts w:ascii="仿宋_GB2312" w:hAnsi="仿宋_GB2312" w:cs="仿宋_GB2312" w:eastAsia="仿宋_GB2312"/>
              </w:rPr>
              <w:t>提供的零配件及备品备件供应方案包括但不限于供应时间、安装更换方式、定价方式（不高于当年市场平均价格，提供不高于市场平均价格的承诺书），方案及承诺详细完善，承诺函科学合理，完全切合本项目实际需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进度保证措施①生产进度保证措施及运输进度保证措施：</w:t>
            </w:r>
          </w:p>
        </w:tc>
        <w:tc>
          <w:tcPr>
            <w:tcW w:type="dxa" w:w="2492"/>
          </w:tcPr>
          <w:p>
            <w:pPr>
              <w:pStyle w:val="null3"/>
            </w:pPr>
            <w:r>
              <w:rPr>
                <w:rFonts w:ascii="仿宋_GB2312" w:hAnsi="仿宋_GB2312" w:cs="仿宋_GB2312" w:eastAsia="仿宋_GB2312"/>
              </w:rPr>
              <w:t>生产、运输进度保证措施合详细可行，有针对性，完全满足项目要求的得0-1分；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进度保证措施②安装调试进度保证措施：</w:t>
            </w:r>
          </w:p>
        </w:tc>
        <w:tc>
          <w:tcPr>
            <w:tcW w:type="dxa" w:w="2492"/>
          </w:tcPr>
          <w:p>
            <w:pPr>
              <w:pStyle w:val="null3"/>
            </w:pPr>
            <w:r>
              <w:rPr>
                <w:rFonts w:ascii="仿宋_GB2312" w:hAnsi="仿宋_GB2312" w:cs="仿宋_GB2312" w:eastAsia="仿宋_GB2312"/>
              </w:rPr>
              <w:t>安装、调试方案科学可行，完全满足项目要求的得0-1分；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应急事故响应及处理方案①可能发生的应急事故情况分析</w:t>
            </w:r>
          </w:p>
        </w:tc>
        <w:tc>
          <w:tcPr>
            <w:tcW w:type="dxa" w:w="2492"/>
          </w:tcPr>
          <w:p>
            <w:pPr>
              <w:pStyle w:val="null3"/>
            </w:pPr>
            <w:r>
              <w:rPr>
                <w:rFonts w:ascii="仿宋_GB2312" w:hAnsi="仿宋_GB2312" w:cs="仿宋_GB2312" w:eastAsia="仿宋_GB2312"/>
              </w:rPr>
              <w:t>应急事故情况预估考虑充分，分析解决方案全面合理完整的得0-1分；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应急事故响应及处理方案②应急响应时间及紧急安全保障措施</w:t>
            </w:r>
          </w:p>
        </w:tc>
        <w:tc>
          <w:tcPr>
            <w:tcW w:type="dxa" w:w="2492"/>
          </w:tcPr>
          <w:p>
            <w:pPr>
              <w:pStyle w:val="null3"/>
            </w:pPr>
            <w:r>
              <w:rPr>
                <w:rFonts w:ascii="仿宋_GB2312" w:hAnsi="仿宋_GB2312" w:cs="仿宋_GB2312" w:eastAsia="仿宋_GB2312"/>
              </w:rPr>
              <w:t>应急响应时间合理可行，紧急安全保障措施合理可行，完全适用于本项目采购人要求的得0-1分；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投标人应在投标文件中提供自2022年11月1日起至今所投产品的类似业绩证明材料，每提供一份业绩合同的得1分，满分为5分，不得重复累计。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投标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详见附件：备品备件清单.docx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详见附件：组织保证措施.docx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