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版本号：【KRDL】K4-250816720251120001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全二维超高效液相色谱四级杆串联飞行质谱联用仪采购项目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【KRDL】K4-2508167</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全二维超高效液相色谱四级杆串联飞行质谱联用仪采购项目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全二维超高效液相色谱四级杆串联飞行质谱联用仪采购项目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本项目拟采购1套全二维超高效液相色谱四级杆串联飞行质谱仪，具体采购内容及要求详见招标文件。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5、是否面向中小企业采购：本项目不专门面向中小企业采购。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说明：（1）中标人中标后凭中标通知书向招标人缴纳合同金额的5%作为履约保证金； （2）履约保证金应使用人民币，可选择使用银行转账、支票、汇票、本票或者金融机构、担保机构出具的保函等非现金形式缴纳或提交； （3）招标人验收合格后，中标人提出书面申请，招标人将履约保证金（无息）退还中标人。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857号）的有关规定标准下浮35%向采购代理机构一次付清代理服务费。备注：在对招标代理服务费或者投标保证金转账时需备注项目名称及采购包名称+招标代理服务费或投标保证金。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按照相关法规、招投标文件及合同有关内容执行。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联系人：刘如拉、代光艳</w:t>
      </w:r>
    </w:p>
    <w:p>
      <w:pPr>
        <w:pStyle w:val="null3"/>
      </w:pPr>
      <w:r>
        <w:rPr>
          <w:rFonts w:ascii="仿宋_GB2312" w:hAnsi="仿宋_GB2312" w:cs="仿宋_GB2312" w:eastAsia="仿宋_GB2312"/>
        </w:rPr>
        <w:t>联系电话：029-89581311、15229797656、17302920968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全二维超高效液相色谱四级杆串联飞行质谱仪采购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3,800,000.00</w:t>
      </w:r>
    </w:p>
    <w:p>
      <w:pPr>
        <w:pStyle w:val="null3"/>
      </w:pPr>
      <w:r>
        <w:rPr>
          <w:rFonts w:ascii="仿宋_GB2312" w:hAnsi="仿宋_GB2312" w:cs="仿宋_GB2312" w:eastAsia="仿宋_GB2312"/>
        </w:rPr>
        <w:t>采购包最高限价（元）: 3,200,000.00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全二维超高效液相色谱四级杆串联飞行质谱联用仪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标的名称：全二维超高效液相色谱四级杆串联飞行质谱联用仪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2"/>
              <w:gridCol w:w="297"/>
              <w:gridCol w:w="914"/>
              <w:gridCol w:w="457"/>
              <w:gridCol w:w="268"/>
            </w:tblGrid>
            <w:tr>
              <w:tc>
                <w:tcPr>
                  <w:tcW w:type="dxa" w:w="272"/>
                  <w:tcBorders>
                    <w:top w:val="singl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序号</w:t>
                  </w:r>
                </w:p>
              </w:tc>
              <w:tc>
                <w:tcPr>
                  <w:tcW w:type="dxa" w:w="297"/>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名称</w:t>
                  </w:r>
                </w:p>
              </w:tc>
              <w:tc>
                <w:tcPr>
                  <w:tcW w:type="dxa" w:w="914"/>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技术参数</w:t>
                  </w:r>
                </w:p>
              </w:tc>
              <w:tc>
                <w:tcPr>
                  <w:tcW w:type="dxa" w:w="457"/>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配置要求</w:t>
                  </w:r>
                </w:p>
              </w:tc>
              <w:tc>
                <w:tcPr>
                  <w:tcW w:type="dxa" w:w="268"/>
                  <w:tcBorders>
                    <w:top w:val="singl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b/>
                      <w:color w:val="000000"/>
                    </w:rPr>
                    <w:t>数量</w:t>
                  </w:r>
                  <w:r>
                    <w:rPr>
                      <w:rFonts w:ascii="仿宋_GB2312" w:hAnsi="仿宋_GB2312" w:cs="仿宋_GB2312" w:eastAsia="仿宋_GB2312"/>
                      <w:sz w:val="24"/>
                      <w:b/>
                      <w:color w:val="000000"/>
                    </w:rPr>
                    <w:t>/单位</w:t>
                  </w:r>
                </w:p>
              </w:tc>
            </w:tr>
            <w:tr>
              <w:tc>
                <w:tcPr>
                  <w:tcW w:type="dxa" w:w="272"/>
                  <w:tcBorders>
                    <w:top w:val="none" w:color="000000" w:sz="4"/>
                    <w:left w:val="singl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w:t>
                  </w:r>
                </w:p>
              </w:tc>
              <w:tc>
                <w:tcPr>
                  <w:tcW w:type="dxa" w:w="29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shd w:fill="FFFFFF" w:val="clear"/>
                    </w:rPr>
                    <w:t>全二维超高效液相色谱四级杆串联飞行质谱仪</w:t>
                  </w:r>
                </w:p>
              </w:tc>
              <w:tc>
                <w:tcPr>
                  <w:tcW w:type="dxa" w:w="914"/>
                  <w:tcBorders>
                    <w:top w:val="none" w:color="000000" w:sz="4"/>
                    <w:left w:val="none" w:color="000000" w:sz="4"/>
                    <w:bottom w:val="single" w:color="000000" w:sz="4"/>
                    <w:right w:val="single" w:color="000000" w:sz="4"/>
                  </w:tcBorders>
                  <w:shd w:fill="FFFFFF"/>
                  <w:tcMar>
                    <w:top w:type="dxa" w:w="0"/>
                    <w:left w:type="dxa" w:w="75"/>
                    <w:bottom w:type="dxa" w:w="0"/>
                    <w:right w:type="dxa" w:w="0"/>
                  </w:tcMar>
                  <w:vAlign w:val="top"/>
                </w:tcPr>
                <w:p>
                  <w:pPr>
                    <w:pStyle w:val="null3"/>
                    <w:ind w:firstLine="480"/>
                    <w:jc w:val="left"/>
                  </w:pPr>
                  <w:r>
                    <w:rPr>
                      <w:rFonts w:ascii="仿宋_GB2312" w:hAnsi="仿宋_GB2312" w:cs="仿宋_GB2312" w:eastAsia="仿宋_GB2312"/>
                      <w:sz w:val="24"/>
                      <w:color w:val="000000"/>
                    </w:rPr>
                    <w:t>1.整体要求：本系统由超高分辨质谱系统，全二维超高效液相色谱系统构成，保证联机稳定性。</w:t>
                  </w:r>
                </w:p>
                <w:p>
                  <w:pPr>
                    <w:pStyle w:val="null3"/>
                    <w:ind w:firstLine="480"/>
                    <w:jc w:val="left"/>
                  </w:pPr>
                  <w:r>
                    <w:rPr>
                      <w:rFonts w:ascii="仿宋_GB2312" w:hAnsi="仿宋_GB2312" w:cs="仿宋_GB2312" w:eastAsia="仿宋_GB2312"/>
                      <w:sz w:val="24"/>
                      <w:color w:val="000000"/>
                    </w:rPr>
                    <w:t>2.质谱部分：</w:t>
                  </w:r>
                </w:p>
                <w:p>
                  <w:pPr>
                    <w:pStyle w:val="null3"/>
                    <w:ind w:firstLine="480"/>
                    <w:jc w:val="left"/>
                  </w:pPr>
                  <w:r>
                    <w:rPr>
                      <w:rFonts w:ascii="仿宋_GB2312" w:hAnsi="仿宋_GB2312" w:cs="仿宋_GB2312" w:eastAsia="仿宋_GB2312"/>
                      <w:sz w:val="24"/>
                      <w:color w:val="000000"/>
                    </w:rPr>
                    <w:t>2.1 离子源部分： 配置独立的可加热电喷雾离子源（ESI源），离子源加热温度≥550℃；</w:t>
                  </w:r>
                </w:p>
                <w:p>
                  <w:pPr>
                    <w:pStyle w:val="null3"/>
                    <w:ind w:firstLine="480"/>
                    <w:jc w:val="left"/>
                  </w:pPr>
                  <w:r>
                    <w:rPr>
                      <w:rFonts w:ascii="仿宋_GB2312" w:hAnsi="仿宋_GB2312" w:cs="仿宋_GB2312" w:eastAsia="仿宋_GB2312"/>
                      <w:sz w:val="24"/>
                      <w:color w:val="000000"/>
                    </w:rPr>
                    <w:t>2.2 离子传输系统</w:t>
                  </w:r>
                </w:p>
                <w:p>
                  <w:pPr>
                    <w:pStyle w:val="null3"/>
                    <w:ind w:firstLine="480"/>
                    <w:jc w:val="left"/>
                  </w:pPr>
                  <w:r>
                    <w:rPr>
                      <w:rFonts w:ascii="仿宋_GB2312" w:hAnsi="仿宋_GB2312" w:cs="仿宋_GB2312" w:eastAsia="仿宋_GB2312"/>
                      <w:sz w:val="24"/>
                      <w:color w:val="000000"/>
                    </w:rPr>
                    <w:t>▲2.2.1 离子传输系统为离子传输管设计，离子传输管金属材质，可独立加热，温度≥400℃。</w:t>
                  </w:r>
                </w:p>
                <w:p>
                  <w:pPr>
                    <w:pStyle w:val="null3"/>
                    <w:ind w:firstLine="480"/>
                    <w:jc w:val="left"/>
                  </w:pPr>
                  <w:r>
                    <w:rPr>
                      <w:rFonts w:ascii="仿宋_GB2312" w:hAnsi="仿宋_GB2312" w:cs="仿宋_GB2312" w:eastAsia="仿宋_GB2312"/>
                      <w:sz w:val="24"/>
                      <w:color w:val="000000"/>
                    </w:rPr>
                    <w:t xml:space="preserve">▲2.2.2 </w:t>
                  </w:r>
                  <w:r>
                    <w:rPr>
                      <w:rFonts w:ascii="仿宋_GB2312" w:hAnsi="仿宋_GB2312" w:cs="仿宋_GB2312" w:eastAsia="仿宋_GB2312"/>
                      <w:sz w:val="24"/>
                      <w:color w:val="000000"/>
                    </w:rPr>
                    <w:t>离子传输管后端</w:t>
                  </w:r>
                  <w:r>
                    <w:rPr>
                      <w:rFonts w:ascii="仿宋_GB2312" w:hAnsi="仿宋_GB2312" w:cs="仿宋_GB2312" w:eastAsia="仿宋_GB2312"/>
                      <w:sz w:val="24"/>
                      <w:color w:val="000000"/>
                    </w:rPr>
                    <w:t>具有真空隔断阀设计；</w:t>
                  </w:r>
                </w:p>
                <w:p>
                  <w:pPr>
                    <w:pStyle w:val="null3"/>
                    <w:ind w:firstLine="480"/>
                    <w:jc w:val="left"/>
                  </w:pPr>
                  <w:r>
                    <w:rPr>
                      <w:rFonts w:ascii="仿宋_GB2312" w:hAnsi="仿宋_GB2312" w:cs="仿宋_GB2312" w:eastAsia="仿宋_GB2312"/>
                      <w:sz w:val="24"/>
                      <w:color w:val="000000"/>
                    </w:rPr>
                    <w:t>2.3 质量分析器部分</w:t>
                  </w:r>
                </w:p>
                <w:p>
                  <w:pPr>
                    <w:pStyle w:val="null3"/>
                    <w:ind w:firstLine="480"/>
                    <w:jc w:val="left"/>
                  </w:pPr>
                  <w:r>
                    <w:rPr>
                      <w:rFonts w:ascii="仿宋_GB2312" w:hAnsi="仿宋_GB2312" w:cs="仿宋_GB2312" w:eastAsia="仿宋_GB2312"/>
                      <w:sz w:val="24"/>
                      <w:color w:val="000000"/>
                    </w:rPr>
                    <w:t>2.3.1质量分析器采用四极杆与静电场轨道阱或飞行时间或傅里叶变换质谱串联的组合；</w:t>
                  </w:r>
                </w:p>
                <w:p>
                  <w:pPr>
                    <w:pStyle w:val="null3"/>
                    <w:ind w:firstLine="480"/>
                    <w:jc w:val="left"/>
                  </w:pPr>
                  <w:r>
                    <w:rPr>
                      <w:rFonts w:ascii="仿宋_GB2312" w:hAnsi="仿宋_GB2312" w:cs="仿宋_GB2312" w:eastAsia="仿宋_GB2312"/>
                      <w:sz w:val="24"/>
                      <w:color w:val="000000"/>
                    </w:rPr>
                    <w:t>2.3.2质量范围涵盖</w:t>
                  </w:r>
                  <w:r>
                    <w:rPr>
                      <w:rFonts w:ascii="仿宋_GB2312" w:hAnsi="仿宋_GB2312" w:cs="仿宋_GB2312" w:eastAsia="仿宋_GB2312"/>
                      <w:sz w:val="24"/>
                      <w:color w:val="000000"/>
                    </w:rPr>
                    <w:t>（</w:t>
                  </w:r>
                  <w:r>
                    <w:rPr>
                      <w:rFonts w:ascii="仿宋_GB2312" w:hAnsi="仿宋_GB2312" w:cs="仿宋_GB2312" w:eastAsia="仿宋_GB2312"/>
                      <w:sz w:val="24"/>
                      <w:color w:val="000000"/>
                    </w:rPr>
                    <w:t>50～6000）</w:t>
                  </w:r>
                  <w:r>
                    <w:rPr>
                      <w:rFonts w:ascii="仿宋_GB2312" w:hAnsi="仿宋_GB2312" w:cs="仿宋_GB2312" w:eastAsia="仿宋_GB2312"/>
                      <w:sz w:val="24"/>
                      <w:color w:val="000000"/>
                    </w:rPr>
                    <w:t>m/z；</w:t>
                  </w:r>
                </w:p>
                <w:p>
                  <w:pPr>
                    <w:pStyle w:val="null3"/>
                    <w:ind w:firstLine="480"/>
                    <w:jc w:val="left"/>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2.3.3 仪器分辨率：</w:t>
                  </w:r>
                  <w:r>
                    <w:rPr>
                      <w:rFonts w:ascii="仿宋_GB2312" w:hAnsi="仿宋_GB2312" w:cs="仿宋_GB2312" w:eastAsia="仿宋_GB2312"/>
                      <w:sz w:val="24"/>
                      <w:color w:val="000000"/>
                    </w:rPr>
                    <w:t>≥100000 FWHM（m/z≤200）</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80000 </w:t>
                  </w:r>
                  <w:r>
                    <w:rPr>
                      <w:rFonts w:ascii="仿宋_GB2312" w:hAnsi="仿宋_GB2312" w:cs="仿宋_GB2312" w:eastAsia="仿宋_GB2312"/>
                      <w:sz w:val="24"/>
                      <w:color w:val="000000"/>
                    </w:rPr>
                    <w:t>FWHM；</w:t>
                  </w:r>
                </w:p>
                <w:p>
                  <w:pPr>
                    <w:pStyle w:val="null3"/>
                    <w:ind w:firstLine="480"/>
                    <w:jc w:val="left"/>
                  </w:pPr>
                  <w:r>
                    <w:rPr>
                      <w:rFonts w:ascii="仿宋_GB2312" w:hAnsi="仿宋_GB2312" w:cs="仿宋_GB2312" w:eastAsia="仿宋_GB2312"/>
                      <w:sz w:val="24"/>
                      <w:color w:val="000000"/>
                    </w:rPr>
                    <w:t>▲2.3.4 正负极性切换扫描速度：≤1秒；</w:t>
                  </w:r>
                </w:p>
                <w:p>
                  <w:pPr>
                    <w:pStyle w:val="null3"/>
                    <w:ind w:firstLine="480"/>
                    <w:jc w:val="left"/>
                  </w:pPr>
                  <w:r>
                    <w:rPr>
                      <w:rFonts w:ascii="仿宋_GB2312" w:hAnsi="仿宋_GB2312" w:cs="仿宋_GB2312" w:eastAsia="仿宋_GB2312"/>
                      <w:sz w:val="24"/>
                      <w:color w:val="000000"/>
                    </w:rPr>
                    <w:t>2.3.5质量轴稳定性：设备校正一次后，连续48小时内不再校正质量轴，重复进样100fg利血平，</w:t>
                  </w:r>
                  <w:r>
                    <w:rPr>
                      <w:rFonts w:ascii="仿宋_GB2312" w:hAnsi="仿宋_GB2312" w:cs="仿宋_GB2312" w:eastAsia="仿宋_GB2312"/>
                      <w:sz w:val="24"/>
                      <w:color w:val="000000"/>
                    </w:rPr>
                    <w:t>m/z</w:t>
                  </w:r>
                  <w:r>
                    <w:rPr>
                      <w:rFonts w:ascii="仿宋_GB2312" w:hAnsi="仿宋_GB2312" w:cs="仿宋_GB2312" w:eastAsia="仿宋_GB2312"/>
                      <w:sz w:val="24"/>
                      <w:color w:val="000000"/>
                    </w:rPr>
                    <w:t>609质量</w:t>
                  </w:r>
                  <w:r>
                    <w:rPr>
                      <w:rFonts w:ascii="仿宋_GB2312" w:hAnsi="仿宋_GB2312" w:cs="仿宋_GB2312" w:eastAsia="仿宋_GB2312"/>
                      <w:sz w:val="24"/>
                      <w:color w:val="000000"/>
                    </w:rPr>
                    <w:t>测试</w:t>
                  </w:r>
                  <w:r>
                    <w:rPr>
                      <w:rFonts w:ascii="仿宋_GB2312" w:hAnsi="仿宋_GB2312" w:cs="仿宋_GB2312" w:eastAsia="仿宋_GB2312"/>
                      <w:sz w:val="24"/>
                      <w:color w:val="000000"/>
                    </w:rPr>
                    <w:t>精度</w:t>
                  </w:r>
                  <w:r>
                    <w:rPr>
                      <w:rFonts w:ascii="仿宋_GB2312" w:hAnsi="仿宋_GB2312" w:cs="仿宋_GB2312" w:eastAsia="仿宋_GB2312"/>
                      <w:sz w:val="24"/>
                      <w:color w:val="000000"/>
                    </w:rPr>
                    <w:t>≤3ppm；</w:t>
                  </w:r>
                </w:p>
                <w:p>
                  <w:pPr>
                    <w:pStyle w:val="null3"/>
                    <w:ind w:firstLine="480"/>
                    <w:jc w:val="left"/>
                  </w:pPr>
                  <w:r>
                    <w:rPr>
                      <w:rFonts w:ascii="仿宋_GB2312" w:hAnsi="仿宋_GB2312" w:cs="仿宋_GB2312" w:eastAsia="仿宋_GB2312"/>
                      <w:sz w:val="24"/>
                      <w:color w:val="000000"/>
                    </w:rPr>
                    <w:t>▲2.3.6 灵敏度</w:t>
                  </w:r>
                </w:p>
                <w:p>
                  <w:pPr>
                    <w:pStyle w:val="null3"/>
                    <w:ind w:firstLine="480"/>
                    <w:jc w:val="left"/>
                  </w:pPr>
                  <w:r>
                    <w:rPr>
                      <w:rFonts w:ascii="仿宋_GB2312" w:hAnsi="仿宋_GB2312" w:cs="仿宋_GB2312" w:eastAsia="仿宋_GB2312"/>
                      <w:sz w:val="24"/>
                      <w:color w:val="000000"/>
                    </w:rPr>
                    <w:t>2.3.6.1 全扫描灵敏度：50fg 利血平柱上S/N ≥500:1;</w:t>
                  </w:r>
                </w:p>
                <w:p>
                  <w:pPr>
                    <w:pStyle w:val="null3"/>
                    <w:ind w:firstLine="480"/>
                    <w:jc w:val="left"/>
                  </w:pPr>
                  <w:r>
                    <w:rPr>
                      <w:rFonts w:ascii="仿宋_GB2312" w:hAnsi="仿宋_GB2312" w:cs="仿宋_GB2312" w:eastAsia="仿宋_GB2312"/>
                      <w:sz w:val="24"/>
                      <w:color w:val="000000"/>
                    </w:rPr>
                    <w:t>2.3.6.2 SIM灵敏度：50fg 利血平柱上S/N ≥1000:1。</w:t>
                  </w:r>
                </w:p>
                <w:p>
                  <w:pPr>
                    <w:pStyle w:val="null3"/>
                    <w:ind w:firstLine="480"/>
                    <w:jc w:val="left"/>
                  </w:pPr>
                  <w:r>
                    <w:rPr>
                      <w:rFonts w:ascii="仿宋_GB2312" w:hAnsi="仿宋_GB2312" w:cs="仿宋_GB2312" w:eastAsia="仿宋_GB2312"/>
                      <w:sz w:val="24"/>
                      <w:color w:val="000000"/>
                    </w:rPr>
                    <w:t>2.3.7 扫描模式：高分辨全扫描MS和MS/MS；高分辨选择离子监测扫描；高分辨全子离子碰撞碎裂扫描；高分辨正负离子切换扫描；高分辨数据依赖子离子扫描；高分辨数据非依赖扫描（DIA）；高分辨平行反应监测子离子扫描</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2.4检测器: 傅里叶无损检测；质谱采用微通道板（MCP）、电子倍增器等消耗型检测器，提供相应备用检测器≥</w:t>
                  </w:r>
                  <w:r>
                    <w:rPr>
                      <w:rFonts w:ascii="仿宋_GB2312" w:hAnsi="仿宋_GB2312" w:cs="仿宋_GB2312" w:eastAsia="仿宋_GB2312"/>
                      <w:sz w:val="24"/>
                      <w:color w:val="000000"/>
                    </w:rPr>
                    <w:t>6</w:t>
                  </w:r>
                  <w:r>
                    <w:rPr>
                      <w:rFonts w:ascii="仿宋_GB2312" w:hAnsi="仿宋_GB2312" w:cs="仿宋_GB2312" w:eastAsia="仿宋_GB2312"/>
                      <w:sz w:val="24"/>
                      <w:color w:val="000000"/>
                    </w:rPr>
                    <w:t>个；</w:t>
                  </w:r>
                </w:p>
                <w:p>
                  <w:pPr>
                    <w:pStyle w:val="null3"/>
                    <w:ind w:firstLine="480"/>
                    <w:jc w:val="left"/>
                  </w:pPr>
                  <w:r>
                    <w:rPr>
                      <w:rFonts w:ascii="仿宋_GB2312" w:hAnsi="仿宋_GB2312" w:cs="仿宋_GB2312" w:eastAsia="仿宋_GB2312"/>
                      <w:sz w:val="24"/>
                      <w:color w:val="000000"/>
                    </w:rPr>
                    <w:t>3. 超高效液相色谱部分</w:t>
                  </w:r>
                </w:p>
                <w:p>
                  <w:pPr>
                    <w:pStyle w:val="null3"/>
                    <w:ind w:firstLine="480"/>
                    <w:jc w:val="left"/>
                  </w:pPr>
                  <w:r>
                    <w:rPr>
                      <w:rFonts w:ascii="仿宋_GB2312" w:hAnsi="仿宋_GB2312" w:cs="仿宋_GB2312" w:eastAsia="仿宋_GB2312"/>
                      <w:sz w:val="24"/>
                      <w:color w:val="000000"/>
                    </w:rPr>
                    <w:t>3.1 泵系统</w:t>
                  </w:r>
                </w:p>
                <w:p>
                  <w:pPr>
                    <w:pStyle w:val="null3"/>
                    <w:ind w:firstLine="480"/>
                    <w:jc w:val="left"/>
                  </w:pPr>
                  <w:r>
                    <w:rPr>
                      <w:rFonts w:ascii="仿宋_GB2312" w:hAnsi="仿宋_GB2312" w:cs="仿宋_GB2312" w:eastAsia="仿宋_GB2312"/>
                      <w:sz w:val="24"/>
                      <w:color w:val="000000"/>
                    </w:rPr>
                    <w:t>3.1.1 提供两套泵模块，要求具有两套单独的梯度体系，每个梯度体系有各自独立的比例阀和流动相体系，每个梯度体系可同时单独控制至少三种不同的流动相。</w:t>
                  </w:r>
                </w:p>
                <w:p>
                  <w:pPr>
                    <w:pStyle w:val="null3"/>
                    <w:ind w:firstLine="480"/>
                    <w:jc w:val="left"/>
                  </w:pPr>
                  <w:r>
                    <w:rPr>
                      <w:rFonts w:ascii="仿宋_GB2312" w:hAnsi="仿宋_GB2312" w:cs="仿宋_GB2312" w:eastAsia="仿宋_GB2312"/>
                      <w:sz w:val="24"/>
                      <w:color w:val="000000"/>
                    </w:rPr>
                    <w:t>3.1.2 工作</w:t>
                  </w:r>
                  <w:r>
                    <w:rPr>
                      <w:rFonts w:ascii="仿宋_GB2312" w:hAnsi="仿宋_GB2312" w:cs="仿宋_GB2312" w:eastAsia="仿宋_GB2312"/>
                      <w:sz w:val="24"/>
                      <w:color w:val="000000"/>
                    </w:rPr>
                    <w:t>方式</w:t>
                  </w:r>
                  <w:r>
                    <w:rPr>
                      <w:rFonts w:ascii="仿宋_GB2312" w:hAnsi="仿宋_GB2312" w:cs="仿宋_GB2312" w:eastAsia="仿宋_GB2312"/>
                      <w:sz w:val="24"/>
                      <w:color w:val="000000"/>
                    </w:rPr>
                    <w:t>：串联双柱塞；</w:t>
                  </w:r>
                </w:p>
                <w:p>
                  <w:pPr>
                    <w:pStyle w:val="null3"/>
                    <w:ind w:firstLine="480"/>
                    <w:jc w:val="left"/>
                  </w:pPr>
                  <w:r>
                    <w:rPr>
                      <w:rFonts w:ascii="仿宋_GB2312" w:hAnsi="仿宋_GB2312" w:cs="仿宋_GB2312" w:eastAsia="仿宋_GB2312"/>
                      <w:sz w:val="24"/>
                      <w:color w:val="000000"/>
                    </w:rPr>
                    <w:t>3.1.3 通道数量：≥6个；</w:t>
                  </w:r>
                </w:p>
                <w:p>
                  <w:pPr>
                    <w:pStyle w:val="null3"/>
                    <w:ind w:firstLine="480"/>
                    <w:jc w:val="left"/>
                  </w:pPr>
                  <w:r>
                    <w:rPr>
                      <w:rFonts w:ascii="仿宋_GB2312" w:hAnsi="仿宋_GB2312" w:cs="仿宋_GB2312" w:eastAsia="仿宋_GB2312"/>
                      <w:sz w:val="24"/>
                      <w:color w:val="000000"/>
                    </w:rPr>
                    <w:t>3.1.4 流量范围涵盖：</w:t>
                  </w:r>
                  <w:r>
                    <w:rPr>
                      <w:rFonts w:ascii="仿宋_GB2312" w:hAnsi="仿宋_GB2312" w:cs="仿宋_GB2312" w:eastAsia="仿宋_GB2312"/>
                      <w:sz w:val="24"/>
                      <w:color w:val="000000"/>
                    </w:rPr>
                    <w:t>（</w:t>
                  </w:r>
                  <w:r>
                    <w:rPr>
                      <w:rFonts w:ascii="仿宋_GB2312" w:hAnsi="仿宋_GB2312" w:cs="仿宋_GB2312" w:eastAsia="仿宋_GB2312"/>
                      <w:sz w:val="24"/>
                      <w:color w:val="000000"/>
                    </w:rPr>
                    <w:t>0.001～10.000）</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mL/min，步进≤0.001 mL/min；</w:t>
                  </w:r>
                </w:p>
                <w:p>
                  <w:pPr>
                    <w:pStyle w:val="null3"/>
                    <w:ind w:firstLine="480"/>
                    <w:jc w:val="left"/>
                  </w:pPr>
                  <w:r>
                    <w:rPr>
                      <w:rFonts w:ascii="仿宋_GB2312" w:hAnsi="仿宋_GB2312" w:cs="仿宋_GB2312" w:eastAsia="仿宋_GB2312"/>
                      <w:sz w:val="24"/>
                      <w:color w:val="000000"/>
                    </w:rPr>
                    <w:t>▲3.1.5最大压力：≥70Mpa；</w:t>
                  </w:r>
                </w:p>
                <w:p>
                  <w:pPr>
                    <w:pStyle w:val="null3"/>
                    <w:ind w:firstLine="480"/>
                    <w:jc w:val="left"/>
                  </w:pPr>
                  <w:r>
                    <w:rPr>
                      <w:rFonts w:ascii="仿宋_GB2312" w:hAnsi="仿宋_GB2312" w:cs="仿宋_GB2312" w:eastAsia="仿宋_GB2312"/>
                      <w:sz w:val="24"/>
                      <w:color w:val="000000"/>
                    </w:rPr>
                    <w:t>3.1.6流量准确度：±0.1%；</w:t>
                  </w:r>
                </w:p>
                <w:p>
                  <w:pPr>
                    <w:pStyle w:val="null3"/>
                    <w:ind w:firstLine="480"/>
                    <w:jc w:val="left"/>
                  </w:pPr>
                  <w:r>
                    <w:rPr>
                      <w:rFonts w:ascii="仿宋_GB2312" w:hAnsi="仿宋_GB2312" w:cs="仿宋_GB2312" w:eastAsia="仿宋_GB2312"/>
                      <w:sz w:val="24"/>
                      <w:color w:val="000000"/>
                    </w:rPr>
                    <w:t>3.1.7流量精密度：</w:t>
                  </w:r>
                  <w:r>
                    <w:rPr>
                      <w:rFonts w:ascii="仿宋_GB2312" w:hAnsi="仿宋_GB2312" w:cs="仿宋_GB2312" w:eastAsia="仿宋_GB2312"/>
                      <w:sz w:val="24"/>
                      <w:color w:val="000000"/>
                    </w:rPr>
                    <w:t>≤0.1%</w:t>
                  </w:r>
                  <w:r>
                    <w:rPr>
                      <w:rFonts w:ascii="仿宋_GB2312" w:hAnsi="仿宋_GB2312" w:cs="仿宋_GB2312" w:eastAsia="仿宋_GB2312"/>
                      <w:sz w:val="24"/>
                      <w:color w:val="000000"/>
                    </w:rPr>
                    <w:t>≤0.</w:t>
                  </w:r>
                  <w:r>
                    <w:rPr>
                      <w:rFonts w:ascii="仿宋_GB2312" w:hAnsi="仿宋_GB2312" w:cs="仿宋_GB2312" w:eastAsia="仿宋_GB2312"/>
                      <w:sz w:val="24"/>
                      <w:color w:val="000000"/>
                    </w:rPr>
                    <w:t>15</w:t>
                  </w:r>
                  <w:r>
                    <w:rPr>
                      <w:rFonts w:ascii="仿宋_GB2312" w:hAnsi="仿宋_GB2312" w:cs="仿宋_GB2312" w:eastAsia="仿宋_GB2312"/>
                      <w:sz w:val="24"/>
                      <w:color w:val="000000"/>
                    </w:rPr>
                    <w:t>% RSD；</w:t>
                  </w:r>
                </w:p>
                <w:p>
                  <w:pPr>
                    <w:pStyle w:val="null3"/>
                    <w:ind w:firstLine="480"/>
                    <w:jc w:val="left"/>
                  </w:pPr>
                  <w:r>
                    <w:rPr>
                      <w:rFonts w:ascii="仿宋_GB2312" w:hAnsi="仿宋_GB2312" w:cs="仿宋_GB2312" w:eastAsia="仿宋_GB2312"/>
                      <w:sz w:val="24"/>
                      <w:color w:val="000000"/>
                    </w:rPr>
                    <w:t>3.2 自动进样器</w:t>
                  </w:r>
                </w:p>
                <w:p>
                  <w:pPr>
                    <w:pStyle w:val="null3"/>
                    <w:ind w:firstLine="480"/>
                    <w:jc w:val="left"/>
                  </w:pPr>
                  <w:r>
                    <w:rPr>
                      <w:rFonts w:ascii="仿宋_GB2312" w:hAnsi="仿宋_GB2312" w:cs="仿宋_GB2312" w:eastAsia="仿宋_GB2312"/>
                      <w:sz w:val="24"/>
                      <w:color w:val="000000"/>
                    </w:rPr>
                    <w:t>▲3.2.1样品瓶位：≥200个（容量1.5mL样品瓶）</w:t>
                  </w:r>
                </w:p>
                <w:p>
                  <w:pPr>
                    <w:pStyle w:val="null3"/>
                    <w:ind w:firstLine="480"/>
                    <w:jc w:val="left"/>
                  </w:pPr>
                  <w:r>
                    <w:rPr>
                      <w:rFonts w:ascii="仿宋_GB2312" w:hAnsi="仿宋_GB2312" w:cs="仿宋_GB2312" w:eastAsia="仿宋_GB2312"/>
                      <w:sz w:val="24"/>
                      <w:color w:val="000000"/>
                    </w:rPr>
                    <w:t>▲3.2.2 最大耐压：≥70Mpa</w:t>
                  </w:r>
                </w:p>
                <w:p>
                  <w:pPr>
                    <w:pStyle w:val="null3"/>
                    <w:ind w:firstLine="480"/>
                    <w:jc w:val="left"/>
                  </w:pPr>
                  <w:r>
                    <w:rPr>
                      <w:rFonts w:ascii="仿宋_GB2312" w:hAnsi="仿宋_GB2312" w:cs="仿宋_GB2312" w:eastAsia="仿宋_GB2312"/>
                      <w:sz w:val="24"/>
                      <w:color w:val="000000"/>
                    </w:rPr>
                    <w:t>3.2.3 进样体积涵盖：（0.01</w:t>
                  </w:r>
                  <w:r>
                    <w:rPr>
                      <w:rFonts w:ascii="仿宋_GB2312" w:hAnsi="仿宋_GB2312" w:cs="仿宋_GB2312" w:eastAsia="仿宋_GB2312"/>
                      <w:sz w:val="24"/>
                      <w:color w:val="000000"/>
                    </w:rPr>
                    <w:t>～</w:t>
                  </w:r>
                  <w:r>
                    <w:rPr>
                      <w:rFonts w:ascii="仿宋_GB2312" w:hAnsi="仿宋_GB2312" w:cs="仿宋_GB2312" w:eastAsia="仿宋_GB2312"/>
                      <w:sz w:val="24"/>
                      <w:color w:val="000000"/>
                    </w:rPr>
                    <w:t>100）μL</w:t>
                  </w:r>
                </w:p>
                <w:p>
                  <w:pPr>
                    <w:pStyle w:val="null3"/>
                    <w:ind w:firstLine="480"/>
                    <w:jc w:val="left"/>
                  </w:pPr>
                  <w:r>
                    <w:rPr>
                      <w:rFonts w:ascii="仿宋_GB2312" w:hAnsi="仿宋_GB2312" w:cs="仿宋_GB2312" w:eastAsia="仿宋_GB2312"/>
                      <w:sz w:val="24"/>
                      <w:color w:val="000000"/>
                    </w:rPr>
                    <w:t>3.2.4 交叉污染：</w:t>
                  </w:r>
                  <w:r>
                    <w:rPr>
                      <w:rFonts w:ascii="仿宋_GB2312" w:hAnsi="仿宋_GB2312" w:cs="仿宋_GB2312" w:eastAsia="仿宋_GB2312"/>
                      <w:sz w:val="24"/>
                      <w:color w:val="000000"/>
                    </w:rPr>
                    <w:t>≤0.0005%</w:t>
                  </w:r>
                </w:p>
                <w:p>
                  <w:pPr>
                    <w:pStyle w:val="null3"/>
                    <w:ind w:firstLine="480"/>
                    <w:jc w:val="left"/>
                  </w:pPr>
                  <w:r>
                    <w:rPr>
                      <w:rFonts w:ascii="仿宋_GB2312" w:hAnsi="仿宋_GB2312" w:cs="仿宋_GB2312" w:eastAsia="仿宋_GB2312"/>
                      <w:sz w:val="24"/>
                      <w:color w:val="000000"/>
                    </w:rPr>
                    <w:t>▲3.2.5 具有用户自定义进样功能，在线稀释和在线衍生功能。</w:t>
                  </w:r>
                </w:p>
                <w:p>
                  <w:pPr>
                    <w:pStyle w:val="null3"/>
                    <w:ind w:firstLine="480"/>
                    <w:jc w:val="left"/>
                  </w:pPr>
                  <w:r>
                    <w:rPr>
                      <w:rFonts w:ascii="仿宋_GB2312" w:hAnsi="仿宋_GB2312" w:cs="仿宋_GB2312" w:eastAsia="仿宋_GB2312"/>
                      <w:sz w:val="24"/>
                      <w:color w:val="000000"/>
                    </w:rPr>
                    <w:t>3.3. 柱温箱</w:t>
                  </w:r>
                </w:p>
                <w:p>
                  <w:pPr>
                    <w:pStyle w:val="null3"/>
                    <w:ind w:firstLine="480"/>
                    <w:jc w:val="left"/>
                  </w:pPr>
                  <w:r>
                    <w:rPr>
                      <w:rFonts w:ascii="仿宋_GB2312" w:hAnsi="仿宋_GB2312" w:cs="仿宋_GB2312" w:eastAsia="仿宋_GB2312"/>
                      <w:sz w:val="24"/>
                      <w:color w:val="000000"/>
                    </w:rPr>
                    <w:t>▲3.3.1 控温范围涵盖:</w:t>
                  </w:r>
                  <w:r>
                    <w:rPr>
                      <w:rFonts w:ascii="仿宋_GB2312" w:hAnsi="仿宋_GB2312" w:cs="仿宋_GB2312" w:eastAsia="仿宋_GB2312"/>
                      <w:sz w:val="24"/>
                      <w:color w:val="000000"/>
                    </w:rPr>
                    <w:t>（</w:t>
                  </w:r>
                  <w:r>
                    <w:rPr>
                      <w:rFonts w:ascii="仿宋_GB2312" w:hAnsi="仿宋_GB2312" w:cs="仿宋_GB2312" w:eastAsia="仿宋_GB2312"/>
                      <w:sz w:val="24"/>
                      <w:color w:val="000000"/>
                    </w:rPr>
                    <w:t>5～80）</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3.3.2 控温</w:t>
                  </w:r>
                  <w:r>
                    <w:rPr>
                      <w:rFonts w:ascii="仿宋_GB2312" w:hAnsi="仿宋_GB2312" w:cs="仿宋_GB2312" w:eastAsia="仿宋_GB2312"/>
                      <w:sz w:val="24"/>
                      <w:color w:val="000000"/>
                    </w:rPr>
                    <w:t>方式</w:t>
                  </w:r>
                  <w:r>
                    <w:rPr>
                      <w:rFonts w:ascii="仿宋_GB2312" w:hAnsi="仿宋_GB2312" w:cs="仿宋_GB2312" w:eastAsia="仿宋_GB2312"/>
                      <w:sz w:val="24"/>
                      <w:color w:val="000000"/>
                    </w:rPr>
                    <w:t>：帕尔贴结合空气循环模式</w:t>
                  </w:r>
                  <w:r>
                    <w:rPr>
                      <w:rFonts w:ascii="仿宋_GB2312" w:hAnsi="仿宋_GB2312" w:cs="仿宋_GB2312" w:eastAsia="仿宋_GB2312"/>
                      <w:sz w:val="24"/>
                      <w:color w:val="000000"/>
                    </w:rPr>
                    <w:t>和</w:t>
                  </w:r>
                  <w:r>
                    <w:rPr>
                      <w:rFonts w:ascii="仿宋_GB2312" w:hAnsi="仿宋_GB2312" w:cs="仿宋_GB2312" w:eastAsia="仿宋_GB2312"/>
                      <w:sz w:val="24"/>
                      <w:color w:val="000000"/>
                    </w:rPr>
                    <w:t>直热模式</w:t>
                  </w:r>
                  <w:r>
                    <w:rPr>
                      <w:rFonts w:ascii="仿宋_GB2312" w:hAnsi="仿宋_GB2312" w:cs="仿宋_GB2312" w:eastAsia="仿宋_GB2312"/>
                      <w:sz w:val="24"/>
                      <w:color w:val="000000"/>
                    </w:rPr>
                    <w:t>等</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3.3.3 温度稳定性：±0.05℃；</w:t>
                  </w:r>
                </w:p>
                <w:p>
                  <w:pPr>
                    <w:pStyle w:val="null3"/>
                    <w:ind w:firstLine="480"/>
                    <w:jc w:val="left"/>
                  </w:pPr>
                  <w:r>
                    <w:rPr>
                      <w:rFonts w:ascii="仿宋_GB2312" w:hAnsi="仿宋_GB2312" w:cs="仿宋_GB2312" w:eastAsia="仿宋_GB2312"/>
                      <w:sz w:val="24"/>
                      <w:color w:val="000000"/>
                    </w:rPr>
                    <w:t>▲3.3.4 配备两个</w:t>
                  </w:r>
                  <w:r>
                    <w:rPr>
                      <w:rFonts w:ascii="仿宋_GB2312" w:hAnsi="仿宋_GB2312" w:cs="仿宋_GB2312" w:eastAsia="仿宋_GB2312"/>
                      <w:sz w:val="24"/>
                      <w:color w:val="000000"/>
                    </w:rPr>
                    <w:t>六通阀，便于切换；</w:t>
                  </w:r>
                </w:p>
                <w:p>
                  <w:pPr>
                    <w:pStyle w:val="null3"/>
                    <w:ind w:firstLine="480"/>
                    <w:jc w:val="left"/>
                  </w:pPr>
                  <w:r>
                    <w:rPr>
                      <w:rFonts w:ascii="仿宋_GB2312" w:hAnsi="仿宋_GB2312" w:cs="仿宋_GB2312" w:eastAsia="仿宋_GB2312"/>
                      <w:sz w:val="24"/>
                      <w:color w:val="000000"/>
                    </w:rPr>
                    <w:t>4.质谱分析软件，提供LC和MS/MS的全自动控制；具备数据采集、数据处理、定性定量分析、建立数据库、谱库检索等功能；</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小分子数据解析软件及数据库</w:t>
                  </w:r>
                </w:p>
                <w:p>
                  <w:pPr>
                    <w:pStyle w:val="null3"/>
                    <w:ind w:firstLine="480"/>
                    <w:jc w:val="left"/>
                  </w:pPr>
                  <w:r>
                    <w:rPr>
                      <w:rFonts w:ascii="仿宋_GB2312" w:hAnsi="仿宋_GB2312" w:cs="仿宋_GB2312" w:eastAsia="仿宋_GB2312"/>
                      <w:sz w:val="24"/>
                      <w:color w:val="000000"/>
                    </w:rPr>
                    <w:t>5.1功能</w:t>
                  </w:r>
                  <w:r>
                    <w:rPr>
                      <w:rFonts w:ascii="仿宋_GB2312" w:hAnsi="仿宋_GB2312" w:cs="仿宋_GB2312" w:eastAsia="仿宋_GB2312"/>
                      <w:sz w:val="24"/>
                      <w:color w:val="000000"/>
                    </w:rPr>
                    <w:t>要求</w:t>
                  </w:r>
                  <w:r>
                    <w:rPr>
                      <w:rFonts w:ascii="仿宋_GB2312" w:hAnsi="仿宋_GB2312" w:cs="仿宋_GB2312" w:eastAsia="仿宋_GB2312"/>
                      <w:sz w:val="24"/>
                      <w:color w:val="000000"/>
                    </w:rPr>
                    <w:t>：为非目标性的筛查、定性及差异性分析；以及目标性物质分析等；</w:t>
                  </w:r>
                </w:p>
                <w:p>
                  <w:pPr>
                    <w:pStyle w:val="null3"/>
                    <w:ind w:firstLine="480"/>
                    <w:jc w:val="left"/>
                  </w:pPr>
                  <w:r>
                    <w:rPr>
                      <w:rFonts w:ascii="仿宋_GB2312" w:hAnsi="仿宋_GB2312" w:cs="仿宋_GB2312" w:eastAsia="仿宋_GB2312"/>
                      <w:sz w:val="24"/>
                      <w:color w:val="000000"/>
                    </w:rPr>
                    <w:t>5.2 工作流程模块化，可自定义模板；</w:t>
                  </w:r>
                </w:p>
                <w:p>
                  <w:pPr>
                    <w:pStyle w:val="null3"/>
                    <w:ind w:firstLine="480"/>
                    <w:jc w:val="left"/>
                  </w:pPr>
                  <w:r>
                    <w:rPr>
                      <w:rFonts w:ascii="仿宋_GB2312" w:hAnsi="仿宋_GB2312" w:cs="仿宋_GB2312" w:eastAsia="仿宋_GB2312"/>
                      <w:sz w:val="24"/>
                      <w:color w:val="000000"/>
                    </w:rPr>
                    <w:t>▲5.3数据结果展示：提供峰面积、RSD、MS2等的直方图、饼图等数据统计。同时提供主成分分析、聚类分析等多种统计学分析方式，并通过PCA得分图、载荷图、火山图、交互式聚类分析热图、PLS-DA、箱线图和趋势线图等多种展示方式。显示质谱树与碎片注释。</w:t>
                  </w:r>
                </w:p>
                <w:p>
                  <w:pPr>
                    <w:pStyle w:val="null3"/>
                    <w:ind w:firstLine="480"/>
                    <w:jc w:val="left"/>
                  </w:pPr>
                  <w:r>
                    <w:rPr>
                      <w:rFonts w:ascii="仿宋_GB2312" w:hAnsi="仿宋_GB2312" w:cs="仿宋_GB2312" w:eastAsia="仿宋_GB2312"/>
                      <w:sz w:val="24"/>
                      <w:color w:val="000000"/>
                    </w:rPr>
                    <w:t>5.4 软件</w:t>
                  </w:r>
                  <w:r>
                    <w:rPr>
                      <w:rFonts w:ascii="仿宋_GB2312" w:hAnsi="仿宋_GB2312" w:cs="仿宋_GB2312" w:eastAsia="仿宋_GB2312"/>
                      <w:sz w:val="24"/>
                      <w:color w:val="000000"/>
                    </w:rPr>
                    <w:t>能</w:t>
                  </w:r>
                  <w:r>
                    <w:rPr>
                      <w:rFonts w:ascii="仿宋_GB2312" w:hAnsi="仿宋_GB2312" w:cs="仿宋_GB2312" w:eastAsia="仿宋_GB2312"/>
                      <w:sz w:val="24"/>
                      <w:color w:val="000000"/>
                    </w:rPr>
                    <w:t>进行非靶向的代谢流分析。针对完全无目标通路的代谢流分析，</w:t>
                  </w:r>
                  <w:r>
                    <w:rPr>
                      <w:rFonts w:ascii="仿宋_GB2312" w:hAnsi="仿宋_GB2312" w:cs="仿宋_GB2312" w:eastAsia="仿宋_GB2312"/>
                      <w:sz w:val="24"/>
                      <w:color w:val="000000"/>
                    </w:rPr>
                    <w:t>能</w:t>
                  </w:r>
                  <w:r>
                    <w:rPr>
                      <w:rFonts w:ascii="仿宋_GB2312" w:hAnsi="仿宋_GB2312" w:cs="仿宋_GB2312" w:eastAsia="仿宋_GB2312"/>
                      <w:sz w:val="24"/>
                      <w:color w:val="000000"/>
                    </w:rPr>
                    <w:t>通过数据库鉴定未知物等手段完成。提供代谢物标记的元素的个数、标记的量、以及交互式的代谢通路分析等结果。</w:t>
                  </w:r>
                </w:p>
                <w:p>
                  <w:pPr>
                    <w:pStyle w:val="null3"/>
                    <w:ind w:firstLine="480"/>
                    <w:jc w:val="left"/>
                  </w:pPr>
                  <w:r>
                    <w:rPr>
                      <w:rFonts w:ascii="仿宋_GB2312" w:hAnsi="仿宋_GB2312" w:cs="仿宋_GB2312" w:eastAsia="仿宋_GB2312"/>
                      <w:sz w:val="24"/>
                      <w:color w:val="000000"/>
                    </w:rPr>
                    <w:t>▲5.5提供标准数据库，包含环境污染物，内源性物质，药物，食品安全等覆盖不同应用方向</w:t>
                  </w:r>
                  <w:r>
                    <w:rPr>
                      <w:rFonts w:ascii="仿宋_GB2312" w:hAnsi="仿宋_GB2312" w:cs="仿宋_GB2312" w:eastAsia="仿宋_GB2312"/>
                      <w:sz w:val="24"/>
                      <w:color w:val="000000"/>
                    </w:rPr>
                    <w:t>，收录</w:t>
                  </w:r>
                  <w:r>
                    <w:rPr>
                      <w:rFonts w:ascii="仿宋_GB2312" w:hAnsi="仿宋_GB2312" w:cs="仿宋_GB2312" w:eastAsia="仿宋_GB2312"/>
                      <w:sz w:val="24"/>
                      <w:color w:val="000000"/>
                    </w:rPr>
                    <w:t>≥3万种化合物，≥1600万张二级/多级谱图，并且保证不断更新，相关费用包含在投标报价中，采购人不再另行支付。</w:t>
                  </w:r>
                </w:p>
              </w:tc>
              <w:tc>
                <w:tcPr>
                  <w:tcW w:type="dxa" w:w="457"/>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配置要求</w:t>
                  </w:r>
                </w:p>
                <w:p>
                  <w:pPr>
                    <w:pStyle w:val="null3"/>
                    <w:jc w:val="left"/>
                  </w:pPr>
                  <w:r>
                    <w:rPr>
                      <w:rFonts w:ascii="仿宋_GB2312" w:hAnsi="仿宋_GB2312" w:cs="仿宋_GB2312" w:eastAsia="仿宋_GB2312"/>
                      <w:sz w:val="24"/>
                      <w:color w:val="000000"/>
                    </w:rPr>
                    <w:t>1.1 高分辨质谱主机1套</w:t>
                  </w:r>
                </w:p>
                <w:p>
                  <w:pPr>
                    <w:pStyle w:val="null3"/>
                    <w:jc w:val="left"/>
                  </w:pPr>
                  <w:r>
                    <w:rPr>
                      <w:rFonts w:ascii="仿宋_GB2312" w:hAnsi="仿宋_GB2312" w:cs="仿宋_GB2312" w:eastAsia="仿宋_GB2312"/>
                      <w:sz w:val="24"/>
                      <w:color w:val="000000"/>
                    </w:rPr>
                    <w:t>1.2 全二维超高效液相色谱仪（含泵，自动进样器，柱温箱）1套</w:t>
                  </w:r>
                </w:p>
                <w:p>
                  <w:pPr>
                    <w:pStyle w:val="null3"/>
                    <w:jc w:val="left"/>
                  </w:pPr>
                  <w:r>
                    <w:rPr>
                      <w:rFonts w:ascii="仿宋_GB2312" w:hAnsi="仿宋_GB2312" w:cs="仿宋_GB2312" w:eastAsia="仿宋_GB2312"/>
                      <w:sz w:val="24"/>
                      <w:color w:val="000000"/>
                    </w:rPr>
                    <w:t>1.3 系统软件1套</w:t>
                  </w:r>
                </w:p>
                <w:p>
                  <w:pPr>
                    <w:pStyle w:val="null3"/>
                    <w:jc w:val="left"/>
                  </w:pPr>
                  <w:r>
                    <w:rPr>
                      <w:rFonts w:ascii="仿宋_GB2312" w:hAnsi="仿宋_GB2312" w:cs="仿宋_GB2312" w:eastAsia="仿宋_GB2312"/>
                      <w:sz w:val="24"/>
                      <w:color w:val="000000"/>
                    </w:rPr>
                    <w:t>1.4 环境新污染物分析色谱柱C18（150x2.1 mm, 2.2µm）1根</w:t>
                  </w:r>
                </w:p>
                <w:p>
                  <w:pPr>
                    <w:pStyle w:val="null3"/>
                    <w:jc w:val="left"/>
                  </w:pPr>
                  <w:r>
                    <w:rPr>
                      <w:rFonts w:ascii="仿宋_GB2312" w:hAnsi="仿宋_GB2312" w:cs="仿宋_GB2312" w:eastAsia="仿宋_GB2312"/>
                      <w:sz w:val="24"/>
                      <w:color w:val="000000"/>
                    </w:rPr>
                    <w:t>1.5 环境新污染物分析捕获柱C18（50x2.1 mm, 2.2µm）1根</w:t>
                  </w:r>
                </w:p>
                <w:p>
                  <w:pPr>
                    <w:pStyle w:val="null3"/>
                    <w:jc w:val="left"/>
                  </w:pPr>
                  <w:r>
                    <w:rPr>
                      <w:rFonts w:ascii="仿宋_GB2312" w:hAnsi="仿宋_GB2312" w:cs="仿宋_GB2312" w:eastAsia="仿宋_GB2312"/>
                      <w:sz w:val="24"/>
                      <w:color w:val="000000"/>
                    </w:rPr>
                    <w:t>1.6 蛋白测试色谱柱C18         1根</w:t>
                  </w:r>
                </w:p>
                <w:p>
                  <w:pPr>
                    <w:pStyle w:val="null3"/>
                    <w:jc w:val="left"/>
                  </w:pPr>
                  <w:r>
                    <w:rPr>
                      <w:rFonts w:ascii="仿宋_GB2312" w:hAnsi="仿宋_GB2312" w:cs="仿宋_GB2312" w:eastAsia="仿宋_GB2312"/>
                      <w:sz w:val="24"/>
                      <w:color w:val="000000"/>
                    </w:rPr>
                    <w:t>1.7 2mL 样品瓶套装（瓶+盖+垫）200个</w:t>
                  </w:r>
                </w:p>
                <w:p>
                  <w:pPr>
                    <w:pStyle w:val="null3"/>
                    <w:jc w:val="left"/>
                  </w:pPr>
                  <w:r>
                    <w:rPr>
                      <w:rFonts w:ascii="仿宋_GB2312" w:hAnsi="仿宋_GB2312" w:cs="仿宋_GB2312" w:eastAsia="仿宋_GB2312"/>
                      <w:sz w:val="24"/>
                      <w:color w:val="000000"/>
                    </w:rPr>
                    <w:t>1.8 UPS电源，10kVA，延时≥30min 1套</w:t>
                  </w:r>
                </w:p>
                <w:p>
                  <w:pPr>
                    <w:pStyle w:val="null3"/>
                    <w:jc w:val="left"/>
                  </w:pPr>
                  <w:r>
                    <w:rPr>
                      <w:rFonts w:ascii="仿宋_GB2312" w:hAnsi="仿宋_GB2312" w:cs="仿宋_GB2312" w:eastAsia="仿宋_GB2312"/>
                      <w:sz w:val="24"/>
                      <w:color w:val="000000"/>
                    </w:rPr>
                    <w:t>1.9 氮气发生器 ≥35L/min 1套</w:t>
                  </w:r>
                </w:p>
                <w:p>
                  <w:pPr>
                    <w:pStyle w:val="null3"/>
                    <w:jc w:val="left"/>
                  </w:pPr>
                  <w:r>
                    <w:rPr>
                      <w:rFonts w:ascii="仿宋_GB2312" w:hAnsi="仿宋_GB2312" w:cs="仿宋_GB2312" w:eastAsia="仿宋_GB2312"/>
                      <w:sz w:val="24"/>
                      <w:color w:val="000000"/>
                    </w:rPr>
                    <w:t xml:space="preserve">1.10 </w:t>
                  </w:r>
                  <w:r>
                    <w:rPr>
                      <w:rFonts w:ascii="仿宋_GB2312" w:hAnsi="仿宋_GB2312" w:cs="仿宋_GB2312" w:eastAsia="仿宋_GB2312"/>
                      <w:sz w:val="24"/>
                      <w:color w:val="000000"/>
                    </w:rPr>
                    <w:t>数据采集系统</w:t>
                  </w:r>
                  <w:r>
                    <w:rPr>
                      <w:rFonts w:ascii="仿宋_GB2312" w:hAnsi="仿宋_GB2312" w:cs="仿宋_GB2312" w:eastAsia="仿宋_GB2312"/>
                      <w:sz w:val="24"/>
                      <w:color w:val="000000"/>
                    </w:rPr>
                    <w:t>1套，配置≥8核处理器≥512G硬盘，≥32.0 GB内存，双核处理器，≥27英寸显示器）</w:t>
                  </w:r>
                </w:p>
                <w:p>
                  <w:pPr>
                    <w:pStyle w:val="null3"/>
                    <w:jc w:val="left"/>
                  </w:pPr>
                  <w:r>
                    <w:rPr>
                      <w:rFonts w:ascii="仿宋_GB2312" w:hAnsi="仿宋_GB2312" w:cs="仿宋_GB2312" w:eastAsia="仿宋_GB2312"/>
                      <w:sz w:val="24"/>
                      <w:color w:val="000000"/>
                    </w:rPr>
                    <w:t>1.11 小分子数据解析软件1套，</w:t>
                  </w:r>
                  <w:r>
                    <w:rPr>
                      <w:rFonts w:ascii="仿宋_GB2312" w:hAnsi="仿宋_GB2312" w:cs="仿宋_GB2312" w:eastAsia="仿宋_GB2312"/>
                      <w:sz w:val="24"/>
                      <w:color w:val="000000"/>
                    </w:rPr>
                    <w:t>CPU: Intel(R) Core(TM)i7-12700，2.10GH</w:t>
                  </w:r>
                </w:p>
                <w:p>
                  <w:pPr>
                    <w:pStyle w:val="null3"/>
                    <w:jc w:val="left"/>
                  </w:pPr>
                  <w:r>
                    <w:rPr>
                      <w:rFonts w:ascii="仿宋_GB2312" w:hAnsi="仿宋_GB2312" w:cs="仿宋_GB2312" w:eastAsia="仿宋_GB2312"/>
                      <w:sz w:val="24"/>
                      <w:color w:val="000000"/>
                    </w:rPr>
                    <w:t>内存：</w:t>
                  </w:r>
                  <w:r>
                    <w:rPr>
                      <w:rFonts w:ascii="仿宋_GB2312" w:hAnsi="仿宋_GB2312" w:cs="仿宋_GB2312" w:eastAsia="仿宋_GB2312"/>
                      <w:sz w:val="24"/>
                      <w:color w:val="000000"/>
                    </w:rPr>
                    <w:t>≥32.0 GB</w:t>
                  </w:r>
                </w:p>
                <w:p>
                  <w:pPr>
                    <w:pStyle w:val="null3"/>
                    <w:jc w:val="left"/>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≥512GB SSD，</w:t>
                  </w:r>
                </w:p>
                <w:p>
                  <w:pPr>
                    <w:pStyle w:val="null3"/>
                    <w:jc w:val="left"/>
                  </w:pPr>
                  <w:r>
                    <w:rPr>
                      <w:rFonts w:ascii="仿宋_GB2312" w:hAnsi="仿宋_GB2312" w:cs="仿宋_GB2312" w:eastAsia="仿宋_GB2312"/>
                      <w:sz w:val="24"/>
                      <w:color w:val="000000"/>
                    </w:rPr>
                    <w:t>硬盘：</w:t>
                  </w:r>
                  <w:r>
                    <w:rPr>
                      <w:rFonts w:ascii="仿宋_GB2312" w:hAnsi="仿宋_GB2312" w:cs="仿宋_GB2312" w:eastAsia="仿宋_GB2312"/>
                      <w:sz w:val="24"/>
                      <w:color w:val="000000"/>
                    </w:rPr>
                    <w:t>≥4G机械硬盘</w:t>
                  </w:r>
                </w:p>
                <w:p>
                  <w:pPr>
                    <w:pStyle w:val="null3"/>
                    <w:jc w:val="left"/>
                  </w:pPr>
                  <w:r>
                    <w:rPr>
                      <w:rFonts w:ascii="仿宋_GB2312" w:hAnsi="仿宋_GB2312" w:cs="仿宋_GB2312" w:eastAsia="仿宋_GB2312"/>
                      <w:sz w:val="24"/>
                      <w:color w:val="000000"/>
                    </w:rPr>
                    <w:t>操作系统：</w:t>
                  </w:r>
                  <w:r>
                    <w:rPr>
                      <w:rFonts w:ascii="仿宋_GB2312" w:hAnsi="仿宋_GB2312" w:cs="仿宋_GB2312" w:eastAsia="仿宋_GB2312"/>
                      <w:sz w:val="24"/>
                      <w:color w:val="000000"/>
                    </w:rPr>
                    <w:t>Windows 10企业版，64位操作系统</w:t>
                  </w:r>
                </w:p>
                <w:p>
                  <w:pPr>
                    <w:pStyle w:val="null3"/>
                    <w:jc w:val="left"/>
                  </w:pPr>
                  <w:r>
                    <w:rPr>
                      <w:rFonts w:ascii="仿宋_GB2312" w:hAnsi="仿宋_GB2312" w:cs="仿宋_GB2312" w:eastAsia="仿宋_GB2312"/>
                      <w:sz w:val="24"/>
                      <w:color w:val="000000"/>
                    </w:rPr>
                    <w:t>显示器：</w:t>
                  </w:r>
                  <w:r>
                    <w:rPr>
                      <w:rFonts w:ascii="仿宋_GB2312" w:hAnsi="仿宋_GB2312" w:cs="仿宋_GB2312" w:eastAsia="仿宋_GB2312"/>
                      <w:sz w:val="24"/>
                      <w:color w:val="000000"/>
                    </w:rPr>
                    <w:t>≥27寸</w:t>
                  </w:r>
                </w:p>
                <w:p>
                  <w:pPr>
                    <w:pStyle w:val="null3"/>
                    <w:jc w:val="left"/>
                  </w:pPr>
                </w:p>
              </w:tc>
              <w:tc>
                <w:tcPr>
                  <w:tcW w:type="dxa" w:w="268"/>
                  <w:tcBorders>
                    <w:top w:val="none" w:color="000000" w:sz="4"/>
                    <w:left w:val="none" w:color="000000" w:sz="4"/>
                    <w:bottom w:val="single" w:color="000000" w:sz="4"/>
                    <w:right w:val="single" w:color="000000" w:sz="4"/>
                  </w:tcBorders>
                  <w:shd w:fill="FFFFFF"/>
                  <w:tcMar>
                    <w:top w:type="dxa" w:w="0"/>
                    <w:left w:type="dxa" w:w="75"/>
                    <w:bottom w:type="dxa" w:w="0"/>
                    <w:right w:type="dxa" w:w="75"/>
                  </w:tcMar>
                  <w:vAlign w:val="top"/>
                </w:tcPr>
                <w:p>
                  <w:pPr>
                    <w:pStyle w:val="null3"/>
                    <w:jc w:val="center"/>
                  </w:pPr>
                  <w:r>
                    <w:rPr>
                      <w:rFonts w:ascii="仿宋_GB2312" w:hAnsi="仿宋_GB2312" w:cs="仿宋_GB2312" w:eastAsia="仿宋_GB2312"/>
                      <w:sz w:val="24"/>
                      <w:color w:val="000000"/>
                    </w:rPr>
                    <w:t>1台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自合同签订之日起120个日历日内到货、安装调试并交付使用。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“一次性付清”为系统固定推述内容，具体付款方式以3.5其他要求列明的付款内容为准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2.由仪器制造厂技术人员到现场安装仪器并在用户实验室人员在场的情况下完成仪器设备性能的校准，并提供校准证书。 3.中标人安装调试完毕、正常运行后及时向招标人提出书面验收申请，招标人将组织人员对采购物品进行核查验收，核查验收时需出具经招标人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（1）质量保证期：验收合格通过之日起1年。 （2）售后服务响应时间（质保期内）：售后服务响应不得超出24小时，制定解决方案，2个工作日内派人到现场维修。超过2个工作日未排除故障，保修期顺延；如无法修复，则提供部件冗余服务或采取应急措施，提供相同产品或不低于故障产品规格档次的备用产品供招标人使用，以确保货物的正常使用。 在仪器验收完成后，提供不少于两个免费培训名额，可参加厂家培训中心产品培训班，培训内容为仪器使用维护、工作原理、基本操作、方法建立及应用。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1.付款方式：“一次性付清”为系统固定推述内容，具体付款方式以下列内容为准： （一）进口设备付款方式：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（3）采购人收到中标人委托的外贸代理机构开具的全额发票后及时向中标人委托的外贸代理机构支付合同总价款的100%。 （4）中标人在签订合同前须向采购人交纳中标金额的5%做为履约保证金，待验收合格后，无异议，供货商提交申请，使用部门签字确认后一次性无息退还 （二）国产设备付款方式： 方式一（仅限2025年12月15日前验收合格的国产产品项目）：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方式二（仅限2025年12月15日前无法验收合格的国产产品项目）：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2.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3.培训目标：保证客户能够独立操作、熟练使用、维护和管理有关设备； 4.随机文件设备操作手册；中文或英文版，一套、专用分析软件（应用模块）光盘，一套；仪器硬件操作、维护手册，中文或英文版，一套。 5.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6.投标保证金注意事项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已做进口论证，接受进口产品的投标；投标人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国家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组织保证措施..docx 投标函 残疾人福利性单位声明函 应急事故响应及处理方案.docx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组织保证措施..docx 投标函 残疾人福利性单位声明函 应急事故响应及处理方案.docx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备品备件清单.docx 技术条款响应偏离表.docx 进度保证措施.docx 业绩表.docx 组织保证措施..docx 投标函 残疾人福利性单位声明函 应急事故响应及处理方案.docx 标的清单 投标文件封面 实施方案.docx 资格证明材料.docx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（1）完全满足采购技术要求的，得45分； （2）技术参数标记为“▲”为重要技术条款，每负偏离一项扣3分，共计12项； （3）未标记“▲”技术指标每负偏离一项扣1分，扣完为止。 备注：1.所有产品完全复制招标文件技术指标要求的，给予10分扣分。2.标记“▲”指标必须提供以下佐证材料之一予以佐证：①产品说明书；②产品检测报告；③产品彩页；④产品截图；⑤官方网页截图，投标人应在投标文件中给出明确的证明材料索引，未提供有效证明材料或证明材料中内容与所填报指标不一致的或缺项、漏项的，将视为此条不满足，视同负偏离处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组织保证措施</w:t>
            </w:r>
          </w:p>
        </w:tc>
        <w:tc>
          <w:tcPr>
            <w:tcW w:type="dxa" w:w="2492"/>
          </w:tcPr>
          <w:p>
            <w:pPr>
              <w:pStyle w:val="null3"/>
            </w:pPr>
            <w:r>
              <w:rPr>
                <w:rFonts w:ascii="仿宋_GB2312" w:hAnsi="仿宋_GB2312" w:cs="仿宋_GB2312" w:eastAsia="仿宋_GB2312"/>
              </w:rPr>
              <w:t>根据投标人提供的组织保证措施（①组织机构方案；②专业服务团队情况及有关管理制度 ）进行评审，包括但不限于： 1.组织机构：组织机构完备，框架结构完整，运行机制有效的得0-1分； 2.服务团队及管理制度：服务团队人员充实、结构合理、均具备相应经验，管理制度完善，能有效保障项目实施的得0-1分；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组织保证措施..docx</w:t>
            </w:r>
          </w:p>
        </w:tc>
      </w:tr>
      <w:tr>
        <w:tc>
          <w:tcPr>
            <w:tcW w:type="dxa" w:w="831"/>
            <w:vMerge/>
          </w:tcPr>
          <w:p/>
        </w:tc>
        <w:tc>
          <w:tcPr>
            <w:tcW w:type="dxa" w:w="1661"/>
          </w:tcPr>
          <w:p>
            <w:pPr>
              <w:pStyle w:val="null3"/>
            </w:pPr>
            <w:r>
              <w:rPr>
                <w:rFonts w:ascii="仿宋_GB2312" w:hAnsi="仿宋_GB2312" w:cs="仿宋_GB2312" w:eastAsia="仿宋_GB2312"/>
              </w:rPr>
              <w:t>实施方案1①对产品打包、装卸的保护措施及运输工具配置情况：</w:t>
            </w:r>
          </w:p>
        </w:tc>
        <w:tc>
          <w:tcPr>
            <w:tcW w:type="dxa" w:w="2492"/>
          </w:tcPr>
          <w:p>
            <w:pPr>
              <w:pStyle w:val="null3"/>
            </w:pPr>
            <w:r>
              <w:rPr>
                <w:rFonts w:ascii="仿宋_GB2312" w:hAnsi="仿宋_GB2312" w:cs="仿宋_GB2312" w:eastAsia="仿宋_GB2312"/>
              </w:rPr>
              <w:t>产品打包、装卸保护措施方案完整详细，运输工具配置合理得当，具备合理性及可行性的得0-1分；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实施方案1②运输人员配置及运输过程中对产品的保护措施：</w:t>
            </w:r>
          </w:p>
        </w:tc>
        <w:tc>
          <w:tcPr>
            <w:tcW w:type="dxa" w:w="2492"/>
          </w:tcPr>
          <w:p>
            <w:pPr>
              <w:pStyle w:val="null3"/>
            </w:pPr>
            <w:r>
              <w:rPr>
                <w:rFonts w:ascii="仿宋_GB2312" w:hAnsi="仿宋_GB2312" w:cs="仿宋_GB2312" w:eastAsia="仿宋_GB2312"/>
              </w:rPr>
              <w:t>有专职运输人员，配置合理并附有人员配置表及详细信息，运输过程中对产品的保护措施全面合理可行，能完全保障运输过程中的质量安全的得0-1分；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实施方案2①安装调试标准：</w:t>
            </w:r>
          </w:p>
        </w:tc>
        <w:tc>
          <w:tcPr>
            <w:tcW w:type="dxa" w:w="2492"/>
          </w:tcPr>
          <w:p>
            <w:pPr>
              <w:pStyle w:val="null3"/>
            </w:pPr>
            <w:r>
              <w:rPr>
                <w:rFonts w:ascii="仿宋_GB2312" w:hAnsi="仿宋_GB2312" w:cs="仿宋_GB2312" w:eastAsia="仿宋_GB2312"/>
              </w:rPr>
              <w:t>提供安装调试方案，严格按照生产厂家出具的使用说明进行安装调试并提供相应标准的得0-1分；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实施方案2②安装调试工具配置情况：</w:t>
            </w:r>
          </w:p>
        </w:tc>
        <w:tc>
          <w:tcPr>
            <w:tcW w:type="dxa" w:w="2492"/>
          </w:tcPr>
          <w:p>
            <w:pPr>
              <w:pStyle w:val="null3"/>
            </w:pPr>
            <w:r>
              <w:rPr>
                <w:rFonts w:ascii="仿宋_GB2312" w:hAnsi="仿宋_GB2312" w:cs="仿宋_GB2312" w:eastAsia="仿宋_GB2312"/>
              </w:rPr>
              <w:t>配备的安装调试工具先进适配，安装调试人员具有专业性，且在安装调试方面具备充足的经验的，完全满足安装调试要求的得0-1分；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实施方案2③安装调试过程中对产品的保护措施：</w:t>
            </w:r>
          </w:p>
        </w:tc>
        <w:tc>
          <w:tcPr>
            <w:tcW w:type="dxa" w:w="2492"/>
          </w:tcPr>
          <w:p>
            <w:pPr>
              <w:pStyle w:val="null3"/>
            </w:pPr>
            <w:r>
              <w:rPr>
                <w:rFonts w:ascii="仿宋_GB2312" w:hAnsi="仿宋_GB2312" w:cs="仿宋_GB2312" w:eastAsia="仿宋_GB2312"/>
              </w:rPr>
              <w:t>在安装调试过程中的保护措施详细合理可行，保证对产品不会造成损坏的0-1分；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实施方案3①培训课程计划、大纲及设备使用培训方案</w:t>
            </w:r>
          </w:p>
        </w:tc>
        <w:tc>
          <w:tcPr>
            <w:tcW w:type="dxa" w:w="2492"/>
          </w:tcPr>
          <w:p>
            <w:pPr>
              <w:pStyle w:val="null3"/>
            </w:pPr>
            <w:r>
              <w:rPr>
                <w:rFonts w:ascii="仿宋_GB2312" w:hAnsi="仿宋_GB2312" w:cs="仿宋_GB2312" w:eastAsia="仿宋_GB2312"/>
              </w:rPr>
              <w:t>提供培训课程计划，列出培训的地点和时间，根据培训课程计划内容，根据设备使用培训方案内容得0-1分。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实施方案3②设备的原理和技术性能、操作维护方法、排除故障方法等培训方案</w:t>
            </w:r>
          </w:p>
        </w:tc>
        <w:tc>
          <w:tcPr>
            <w:tcW w:type="dxa" w:w="2492"/>
          </w:tcPr>
          <w:p>
            <w:pPr>
              <w:pStyle w:val="null3"/>
            </w:pPr>
            <w:r>
              <w:rPr>
                <w:rFonts w:ascii="仿宋_GB2312" w:hAnsi="仿宋_GB2312" w:cs="仿宋_GB2312" w:eastAsia="仿宋_GB2312"/>
              </w:rPr>
              <w:t>提供培训设备的原理和技术性能、操作维护方法、排除故障方法等培训方案，根据培训方案内容得0-1分。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实施方案4①售后服务机构及人员配置方案：</w:t>
            </w:r>
          </w:p>
        </w:tc>
        <w:tc>
          <w:tcPr>
            <w:tcW w:type="dxa" w:w="2492"/>
          </w:tcPr>
          <w:p>
            <w:pPr>
              <w:pStyle w:val="null3"/>
            </w:pPr>
            <w:r>
              <w:rPr>
                <w:rFonts w:ascii="仿宋_GB2312" w:hAnsi="仿宋_GB2312" w:cs="仿宋_GB2312" w:eastAsia="仿宋_GB2312"/>
              </w:rPr>
              <w:t>有投标人自己的维修服务机构，提供专职售后服务人员（提供专职人员身份证复印件及劳动合同）完全满足本项目需求，且配备的人员具有相关技能证书（提供相关技能证书）的得0-1分；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实施方案4②提供保修期外至全寿命周期内零配件及备品备件供应方案及提供所投产品制造商的售后服务承诺函：</w:t>
            </w:r>
          </w:p>
        </w:tc>
        <w:tc>
          <w:tcPr>
            <w:tcW w:type="dxa" w:w="2492"/>
          </w:tcPr>
          <w:p>
            <w:pPr>
              <w:pStyle w:val="null3"/>
            </w:pPr>
            <w:r>
              <w:rPr>
                <w:rFonts w:ascii="仿宋_GB2312" w:hAnsi="仿宋_GB2312" w:cs="仿宋_GB2312" w:eastAsia="仿宋_GB2312"/>
              </w:rPr>
              <w:t>提供的零配件及备品备件供应方案包括但不限于供应时间、安装更换方式、定价方式（不高于当年市场平均价格，提供不高于市场平均价格的承诺书），方案及承诺详细完善，承诺函科学合理，完全切合本项目实际需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备品备件清单.docx</w:t>
            </w:r>
          </w:p>
        </w:tc>
      </w:tr>
      <w:tr>
        <w:tc>
          <w:tcPr>
            <w:tcW w:type="dxa" w:w="831"/>
            <w:vMerge/>
          </w:tcPr>
          <w:p/>
        </w:tc>
        <w:tc>
          <w:tcPr>
            <w:tcW w:type="dxa" w:w="1661"/>
          </w:tcPr>
          <w:p>
            <w:pPr>
              <w:pStyle w:val="null3"/>
            </w:pPr>
            <w:r>
              <w:rPr>
                <w:rFonts w:ascii="仿宋_GB2312" w:hAnsi="仿宋_GB2312" w:cs="仿宋_GB2312" w:eastAsia="仿宋_GB2312"/>
              </w:rPr>
              <w:t>进度保证措施①生产进度保证措施及运输进度保证措施：</w:t>
            </w:r>
          </w:p>
        </w:tc>
        <w:tc>
          <w:tcPr>
            <w:tcW w:type="dxa" w:w="2492"/>
          </w:tcPr>
          <w:p>
            <w:pPr>
              <w:pStyle w:val="null3"/>
            </w:pPr>
            <w:r>
              <w:rPr>
                <w:rFonts w:ascii="仿宋_GB2312" w:hAnsi="仿宋_GB2312" w:cs="仿宋_GB2312" w:eastAsia="仿宋_GB2312"/>
              </w:rPr>
              <w:t>生产、运输进度保证措施合详细可行，有针对性，完全满足项目要求的得0-1分；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进度保证措施②安装调试进度保证措施：</w:t>
            </w:r>
          </w:p>
        </w:tc>
        <w:tc>
          <w:tcPr>
            <w:tcW w:type="dxa" w:w="2492"/>
          </w:tcPr>
          <w:p>
            <w:pPr>
              <w:pStyle w:val="null3"/>
            </w:pPr>
            <w:r>
              <w:rPr>
                <w:rFonts w:ascii="仿宋_GB2312" w:hAnsi="仿宋_GB2312" w:cs="仿宋_GB2312" w:eastAsia="仿宋_GB2312"/>
              </w:rPr>
              <w:t>安装、调试方案科学可行，完全满足项目要求的得0-1分；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应急事故响应及处理方案①可能发生的应急事故情况分析</w:t>
            </w:r>
          </w:p>
        </w:tc>
        <w:tc>
          <w:tcPr>
            <w:tcW w:type="dxa" w:w="2492"/>
          </w:tcPr>
          <w:p>
            <w:pPr>
              <w:pStyle w:val="null3"/>
            </w:pPr>
            <w:r>
              <w:rPr>
                <w:rFonts w:ascii="仿宋_GB2312" w:hAnsi="仿宋_GB2312" w:cs="仿宋_GB2312" w:eastAsia="仿宋_GB2312"/>
              </w:rPr>
              <w:t>应急事故情况预估考虑充分，分析解决方案全面合理完整的得0-1分；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应急事故响应及处理方案②应急响应时间及紧急安全保障措施</w:t>
            </w:r>
          </w:p>
        </w:tc>
        <w:tc>
          <w:tcPr>
            <w:tcW w:type="dxa" w:w="2492"/>
          </w:tcPr>
          <w:p>
            <w:pPr>
              <w:pStyle w:val="null3"/>
            </w:pPr>
            <w:r>
              <w:rPr>
                <w:rFonts w:ascii="仿宋_GB2312" w:hAnsi="仿宋_GB2312" w:cs="仿宋_GB2312" w:eastAsia="仿宋_GB2312"/>
              </w:rPr>
              <w:t>应急响应时间合理可行，紧急安全保障措施合理可行，完全适用于本项目采购人要求的得0-1分；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应急事故响应及处理方案.docx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投标人应在投标文件中提供该投标人自2022年11月1日起至今的类似业绩证明材料，每提供一份业绩合同的得1分，满分为5分，不得重复累计。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投标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详见附件：应急事故响应及处理方案.docx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详见附件：组织保证措施..docx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