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7BE6F">
      <w:pPr>
        <w:jc w:val="center"/>
        <w:rPr>
          <w:rFonts w:hint="eastAsia"/>
          <w:b/>
          <w:bCs/>
          <w:sz w:val="24"/>
          <w:szCs w:val="24"/>
          <w:lang w:eastAsia="zh-CN"/>
        </w:rPr>
      </w:pPr>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0CC909AB">
      <w:pPr>
        <w:jc w:val="center"/>
        <w:rPr>
          <w:rFonts w:hint="eastAsia"/>
          <w:b/>
          <w:bCs/>
          <w:sz w:val="24"/>
          <w:szCs w:val="24"/>
          <w:lang w:eastAsia="zh-CN"/>
        </w:rPr>
      </w:pPr>
    </w:p>
    <w:p w14:paraId="791DCC20">
      <w:pPr>
        <w:jc w:val="center"/>
        <w:rPr>
          <w:rFonts w:hint="default"/>
          <w:lang w:val="en-US"/>
        </w:rPr>
      </w:pPr>
      <w:r>
        <w:rPr>
          <w:rFonts w:hint="eastAsia"/>
          <w:b/>
          <w:bCs/>
          <w:sz w:val="24"/>
          <w:szCs w:val="24"/>
          <w:lang w:val="en-US" w:eastAsia="zh-CN"/>
        </w:rPr>
        <w:t>实施方案1</w:t>
      </w:r>
    </w:p>
    <w:p w14:paraId="6BC03B92">
      <w:pPr>
        <w:widowControl/>
        <w:wordWrap w:val="0"/>
        <w:adjustRightInd w:val="0"/>
        <w:snapToGrid w:val="0"/>
        <w:spacing w:line="360" w:lineRule="auto"/>
        <w:jc w:val="left"/>
        <w:rPr>
          <w:rFonts w:ascii="宋体" w:hAnsi="宋体" w:cs="宋体"/>
          <w:b/>
          <w:bCs/>
          <w:color w:val="000000" w:themeColor="text1"/>
          <w:kern w:val="0"/>
          <w:sz w:val="24"/>
          <w:shd w:val="clear" w:color="auto" w:fill="FFFFFF"/>
          <w:lang w:val="zh-CN"/>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1.根据投标人提供的运输阶段的质量保证措施（包括</w:t>
      </w:r>
      <w:r>
        <w:rPr>
          <w:rFonts w:hint="eastAsia" w:ascii="宋体" w:hAnsi="宋体" w:cs="宋体"/>
          <w:b/>
          <w:bCs/>
          <w:color w:val="000000" w:themeColor="text1"/>
          <w:kern w:val="0"/>
          <w:sz w:val="24"/>
          <w:shd w:val="clear" w:color="auto" w:fill="FFFFFF"/>
          <w:lang w:val="zh-CN"/>
          <w14:textFill>
            <w14:solidFill>
              <w14:schemeClr w14:val="tx1"/>
            </w14:solidFill>
          </w14:textFill>
        </w:rPr>
        <w:t>①</w:t>
      </w:r>
      <w:r>
        <w:rPr>
          <w:rFonts w:hint="eastAsia" w:ascii="宋体" w:hAnsi="宋体" w:cs="宋体"/>
          <w:b/>
          <w:bCs/>
          <w:color w:val="000000" w:themeColor="text1"/>
          <w:kern w:val="0"/>
          <w:sz w:val="24"/>
          <w:shd w:val="clear" w:color="auto" w:fill="FFFFFF"/>
          <w14:textFill>
            <w14:solidFill>
              <w14:schemeClr w14:val="tx1"/>
            </w14:solidFill>
          </w14:textFill>
        </w:rPr>
        <w:t>对产品打包、装卸的保护措施及运输工具配置情况</w:t>
      </w:r>
      <w:r>
        <w:rPr>
          <w:rFonts w:hint="eastAsia" w:ascii="宋体" w:hAnsi="宋体" w:cs="宋体"/>
          <w:b/>
          <w:bCs/>
          <w:color w:val="000000" w:themeColor="text1"/>
          <w:kern w:val="0"/>
          <w:sz w:val="24"/>
          <w:shd w:val="clear" w:color="auto" w:fill="FFFFFF"/>
          <w:lang w:val="zh-CN"/>
          <w14:textFill>
            <w14:solidFill>
              <w14:schemeClr w14:val="tx1"/>
            </w14:solidFill>
          </w14:textFill>
        </w:rPr>
        <w:t>；</w:t>
      </w:r>
      <w:r>
        <w:rPr>
          <w:rFonts w:ascii="宋体" w:hAnsi="宋体" w:cs="宋体"/>
          <w:b/>
          <w:bCs/>
          <w:color w:val="000000" w:themeColor="text1"/>
          <w:kern w:val="0"/>
          <w:sz w:val="24"/>
          <w:shd w:val="clear" w:color="auto" w:fill="FFFFFF"/>
          <w:lang w:val="zh-CN"/>
          <w14:textFill>
            <w14:solidFill>
              <w14:schemeClr w14:val="tx1"/>
            </w14:solidFill>
          </w14:textFill>
        </w:rPr>
        <w:t>②</w:t>
      </w:r>
      <w:r>
        <w:rPr>
          <w:rFonts w:hint="eastAsia" w:ascii="宋体" w:hAnsi="宋体" w:cs="宋体"/>
          <w:b/>
          <w:bCs/>
          <w:color w:val="000000" w:themeColor="text1"/>
          <w:kern w:val="0"/>
          <w:sz w:val="24"/>
          <w:shd w:val="clear" w:color="auto" w:fill="FFFFFF"/>
          <w14:textFill>
            <w14:solidFill>
              <w14:schemeClr w14:val="tx1"/>
            </w14:solidFill>
          </w14:textFill>
        </w:rPr>
        <w:t>运输人员配置及运输过程中对产品的保护措施。）进行评审：</w:t>
      </w:r>
    </w:p>
    <w:p w14:paraId="4DB407A4">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lang w:val="zh-CN"/>
          <w14:textFill>
            <w14:solidFill>
              <w14:schemeClr w14:val="tx1"/>
            </w14:solidFill>
          </w14:textFill>
        </w:rPr>
        <w:t>①</w:t>
      </w:r>
      <w:r>
        <w:rPr>
          <w:rFonts w:hint="eastAsia" w:ascii="宋体" w:hAnsi="宋体" w:cs="宋体"/>
          <w:b/>
          <w:bCs/>
          <w:color w:val="000000" w:themeColor="text1"/>
          <w:kern w:val="0"/>
          <w:sz w:val="24"/>
          <w:shd w:val="clear" w:color="auto" w:fill="FFFFFF"/>
          <w14:textFill>
            <w14:solidFill>
              <w14:schemeClr w14:val="tx1"/>
            </w14:solidFill>
          </w14:textFill>
        </w:rPr>
        <w:t>对产品打包、装卸的保护措施及运输工具配置情况：</w:t>
      </w:r>
    </w:p>
    <w:p w14:paraId="3A9EB496">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产品打包、装卸保护措施方案完整详细，运输工具配置合理得当，具备合理性及可行性的得0-1分；</w:t>
      </w:r>
    </w:p>
    <w:p w14:paraId="70ACF859">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ascii="宋体" w:hAnsi="宋体" w:cs="宋体"/>
          <w:b/>
          <w:bCs/>
          <w:color w:val="000000" w:themeColor="text1"/>
          <w:kern w:val="0"/>
          <w:sz w:val="24"/>
          <w:shd w:val="clear" w:color="auto" w:fill="FFFFFF"/>
          <w:lang w:val="zh-CN"/>
          <w14:textFill>
            <w14:solidFill>
              <w14:schemeClr w14:val="tx1"/>
            </w14:solidFill>
          </w14:textFill>
        </w:rPr>
        <w:t>②</w:t>
      </w:r>
      <w:r>
        <w:rPr>
          <w:rFonts w:hint="eastAsia" w:ascii="宋体" w:hAnsi="宋体" w:cs="宋体"/>
          <w:b/>
          <w:bCs/>
          <w:color w:val="000000" w:themeColor="text1"/>
          <w:kern w:val="0"/>
          <w:sz w:val="24"/>
          <w:shd w:val="clear" w:color="auto" w:fill="FFFFFF"/>
          <w14:textFill>
            <w14:solidFill>
              <w14:schemeClr w14:val="tx1"/>
            </w14:solidFill>
          </w14:textFill>
        </w:rPr>
        <w:t>运输人员配置及运输过程中对产品的保护措施：</w:t>
      </w:r>
    </w:p>
    <w:p w14:paraId="34EBCB4E">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有专职运输人员，配置合理并附有人员配置表及详细信息，运输过程中对产品的保护措施全面合理可行，能完全保障运输过程中的质量安全的得0-1分；</w:t>
      </w:r>
    </w:p>
    <w:p w14:paraId="75DF94AC">
      <w:pPr>
        <w:rPr>
          <w:rFonts w:hint="eastAsia" w:ascii="宋体" w:hAnsi="宋体" w:cs="宋体"/>
          <w:color w:val="000000" w:themeColor="text1"/>
          <w:kern w:val="0"/>
          <w:sz w:val="24"/>
          <w:shd w:val="clear" w:color="auto" w:fill="FFFFFF"/>
          <w14:textFill>
            <w14:solidFill>
              <w14:schemeClr w14:val="tx1"/>
            </w14:solidFill>
          </w14:textFill>
        </w:rPr>
      </w:pPr>
    </w:p>
    <w:p w14:paraId="7A4B5D8F">
      <w:pPr>
        <w:rPr>
          <w:rFonts w:hint="eastAsia" w:ascii="宋体" w:hAnsi="宋体" w:cs="宋体"/>
          <w:color w:val="000000" w:themeColor="text1"/>
          <w:kern w:val="0"/>
          <w:sz w:val="24"/>
          <w:shd w:val="clear" w:color="auto" w:fill="FFFFFF"/>
          <w14:textFill>
            <w14:solidFill>
              <w14:schemeClr w14:val="tx1"/>
            </w14:solidFill>
          </w14:textFill>
        </w:rPr>
      </w:pPr>
    </w:p>
    <w:p w14:paraId="01EDC3BC">
      <w:pPr>
        <w:rPr>
          <w:rFonts w:hint="eastAsia" w:ascii="宋体" w:hAnsi="宋体" w:cs="宋体"/>
          <w:color w:val="000000" w:themeColor="text1"/>
          <w:kern w:val="0"/>
          <w:sz w:val="24"/>
          <w:shd w:val="clear" w:color="auto" w:fill="FFFFFF"/>
          <w14:textFill>
            <w14:solidFill>
              <w14:schemeClr w14:val="tx1"/>
            </w14:solidFill>
          </w14:textFill>
        </w:rPr>
      </w:pPr>
    </w:p>
    <w:p w14:paraId="258DAC64">
      <w:pPr>
        <w:rPr>
          <w:rFonts w:hint="eastAsia" w:ascii="宋体" w:hAnsi="宋体" w:cs="宋体"/>
          <w:color w:val="000000" w:themeColor="text1"/>
          <w:kern w:val="0"/>
          <w:sz w:val="24"/>
          <w:shd w:val="clear" w:color="auto" w:fill="FFFFFF"/>
          <w14:textFill>
            <w14:solidFill>
              <w14:schemeClr w14:val="tx1"/>
            </w14:solidFill>
          </w14:textFill>
        </w:rPr>
      </w:pPr>
    </w:p>
    <w:p w14:paraId="137D5534">
      <w:pPr>
        <w:rPr>
          <w:rFonts w:hint="eastAsia" w:ascii="宋体" w:hAnsi="宋体" w:cs="宋体"/>
          <w:color w:val="000000" w:themeColor="text1"/>
          <w:kern w:val="0"/>
          <w:sz w:val="24"/>
          <w:shd w:val="clear" w:color="auto" w:fill="FFFFFF"/>
          <w14:textFill>
            <w14:solidFill>
              <w14:schemeClr w14:val="tx1"/>
            </w14:solidFill>
          </w14:textFill>
        </w:rPr>
      </w:pPr>
    </w:p>
    <w:p w14:paraId="4FE9D21B">
      <w:pPr>
        <w:rPr>
          <w:rFonts w:hint="eastAsia" w:ascii="宋体" w:hAnsi="宋体" w:cs="宋体"/>
          <w:color w:val="000000" w:themeColor="text1"/>
          <w:kern w:val="0"/>
          <w:sz w:val="24"/>
          <w:shd w:val="clear" w:color="auto" w:fill="FFFFFF"/>
          <w14:textFill>
            <w14:solidFill>
              <w14:schemeClr w14:val="tx1"/>
            </w14:solidFill>
          </w14:textFill>
        </w:rPr>
      </w:pPr>
    </w:p>
    <w:p w14:paraId="4E031104">
      <w:pPr>
        <w:rPr>
          <w:rFonts w:hint="eastAsia" w:ascii="宋体" w:hAnsi="宋体" w:cs="宋体"/>
          <w:color w:val="000000" w:themeColor="text1"/>
          <w:kern w:val="0"/>
          <w:sz w:val="24"/>
          <w:shd w:val="clear" w:color="auto" w:fill="FFFFFF"/>
          <w14:textFill>
            <w14:solidFill>
              <w14:schemeClr w14:val="tx1"/>
            </w14:solidFill>
          </w14:textFill>
        </w:rPr>
      </w:pPr>
    </w:p>
    <w:p w14:paraId="583665E6">
      <w:pPr>
        <w:rPr>
          <w:rFonts w:hint="eastAsia" w:ascii="宋体" w:hAnsi="宋体" w:cs="宋体"/>
          <w:color w:val="000000" w:themeColor="text1"/>
          <w:kern w:val="0"/>
          <w:sz w:val="24"/>
          <w:shd w:val="clear" w:color="auto" w:fill="FFFFFF"/>
          <w14:textFill>
            <w14:solidFill>
              <w14:schemeClr w14:val="tx1"/>
            </w14:solidFill>
          </w14:textFill>
        </w:rPr>
      </w:pPr>
    </w:p>
    <w:p w14:paraId="0408A5E5">
      <w:pPr>
        <w:rPr>
          <w:rFonts w:hint="eastAsia" w:ascii="宋体" w:hAnsi="宋体" w:cs="宋体"/>
          <w:color w:val="000000" w:themeColor="text1"/>
          <w:kern w:val="0"/>
          <w:sz w:val="24"/>
          <w:shd w:val="clear" w:color="auto" w:fill="FFFFFF"/>
          <w14:textFill>
            <w14:solidFill>
              <w14:schemeClr w14:val="tx1"/>
            </w14:solidFill>
          </w14:textFill>
        </w:rPr>
      </w:pPr>
    </w:p>
    <w:p w14:paraId="33A4F4A6">
      <w:pPr>
        <w:rPr>
          <w:rFonts w:hint="eastAsia" w:ascii="宋体" w:hAnsi="宋体" w:cs="宋体"/>
          <w:color w:val="000000" w:themeColor="text1"/>
          <w:kern w:val="0"/>
          <w:sz w:val="24"/>
          <w:shd w:val="clear" w:color="auto" w:fill="FFFFFF"/>
          <w14:textFill>
            <w14:solidFill>
              <w14:schemeClr w14:val="tx1"/>
            </w14:solidFill>
          </w14:textFill>
        </w:rPr>
      </w:pPr>
    </w:p>
    <w:p w14:paraId="57BFEF10">
      <w:pPr>
        <w:rPr>
          <w:rFonts w:hint="eastAsia" w:ascii="宋体" w:hAnsi="宋体" w:cs="宋体"/>
          <w:color w:val="000000" w:themeColor="text1"/>
          <w:kern w:val="0"/>
          <w:sz w:val="24"/>
          <w:shd w:val="clear" w:color="auto" w:fill="FFFFFF"/>
          <w14:textFill>
            <w14:solidFill>
              <w14:schemeClr w14:val="tx1"/>
            </w14:solidFill>
          </w14:textFill>
        </w:rPr>
      </w:pPr>
    </w:p>
    <w:p w14:paraId="51467D7F">
      <w:pPr>
        <w:rPr>
          <w:rFonts w:hint="eastAsia" w:ascii="宋体" w:hAnsi="宋体" w:cs="宋体"/>
          <w:color w:val="000000" w:themeColor="text1"/>
          <w:kern w:val="0"/>
          <w:sz w:val="24"/>
          <w:shd w:val="clear" w:color="auto" w:fill="FFFFFF"/>
          <w14:textFill>
            <w14:solidFill>
              <w14:schemeClr w14:val="tx1"/>
            </w14:solidFill>
          </w14:textFill>
        </w:rPr>
      </w:pPr>
    </w:p>
    <w:p w14:paraId="22780CEC">
      <w:pPr>
        <w:rPr>
          <w:rFonts w:hint="eastAsia" w:ascii="宋体" w:hAnsi="宋体" w:cs="宋体"/>
          <w:color w:val="000000" w:themeColor="text1"/>
          <w:kern w:val="0"/>
          <w:sz w:val="24"/>
          <w:shd w:val="clear" w:color="auto" w:fill="FFFFFF"/>
          <w14:textFill>
            <w14:solidFill>
              <w14:schemeClr w14:val="tx1"/>
            </w14:solidFill>
          </w14:textFill>
        </w:rPr>
      </w:pPr>
    </w:p>
    <w:p w14:paraId="24F09AB3">
      <w:pPr>
        <w:rPr>
          <w:rFonts w:hint="eastAsia" w:ascii="宋体" w:hAnsi="宋体" w:cs="宋体"/>
          <w:color w:val="000000" w:themeColor="text1"/>
          <w:kern w:val="0"/>
          <w:sz w:val="24"/>
          <w:shd w:val="clear" w:color="auto" w:fill="FFFFFF"/>
          <w14:textFill>
            <w14:solidFill>
              <w14:schemeClr w14:val="tx1"/>
            </w14:solidFill>
          </w14:textFill>
        </w:rPr>
      </w:pPr>
    </w:p>
    <w:p w14:paraId="0FE46709">
      <w:pPr>
        <w:rPr>
          <w:rFonts w:hint="eastAsia" w:ascii="宋体" w:hAnsi="宋体" w:cs="宋体"/>
          <w:color w:val="000000" w:themeColor="text1"/>
          <w:kern w:val="0"/>
          <w:sz w:val="24"/>
          <w:shd w:val="clear" w:color="auto" w:fill="FFFFFF"/>
          <w14:textFill>
            <w14:solidFill>
              <w14:schemeClr w14:val="tx1"/>
            </w14:solidFill>
          </w14:textFill>
        </w:rPr>
      </w:pPr>
    </w:p>
    <w:p w14:paraId="555E3F88">
      <w:pPr>
        <w:rPr>
          <w:rFonts w:hint="eastAsia" w:ascii="宋体" w:hAnsi="宋体" w:cs="宋体"/>
          <w:color w:val="000000" w:themeColor="text1"/>
          <w:kern w:val="0"/>
          <w:sz w:val="24"/>
          <w:shd w:val="clear" w:color="auto" w:fill="FFFFFF"/>
          <w14:textFill>
            <w14:solidFill>
              <w14:schemeClr w14:val="tx1"/>
            </w14:solidFill>
          </w14:textFill>
        </w:rPr>
      </w:pPr>
    </w:p>
    <w:p w14:paraId="2C9F4433">
      <w:pPr>
        <w:rPr>
          <w:rFonts w:hint="eastAsia" w:ascii="宋体" w:hAnsi="宋体" w:cs="宋体"/>
          <w:color w:val="000000" w:themeColor="text1"/>
          <w:kern w:val="0"/>
          <w:sz w:val="24"/>
          <w:shd w:val="clear" w:color="auto" w:fill="FFFFFF"/>
          <w14:textFill>
            <w14:solidFill>
              <w14:schemeClr w14:val="tx1"/>
            </w14:solidFill>
          </w14:textFill>
        </w:rPr>
      </w:pPr>
    </w:p>
    <w:p w14:paraId="20613B61">
      <w:pPr>
        <w:rPr>
          <w:rFonts w:hint="eastAsia" w:ascii="宋体" w:hAnsi="宋体" w:cs="宋体"/>
          <w:color w:val="000000" w:themeColor="text1"/>
          <w:kern w:val="0"/>
          <w:sz w:val="24"/>
          <w:shd w:val="clear" w:color="auto" w:fill="FFFFFF"/>
          <w14:textFill>
            <w14:solidFill>
              <w14:schemeClr w14:val="tx1"/>
            </w14:solidFill>
          </w14:textFill>
        </w:rPr>
      </w:pPr>
    </w:p>
    <w:p w14:paraId="78D2E00D">
      <w:pPr>
        <w:rPr>
          <w:rFonts w:hint="eastAsia" w:ascii="宋体" w:hAnsi="宋体" w:cs="宋体"/>
          <w:color w:val="000000" w:themeColor="text1"/>
          <w:kern w:val="0"/>
          <w:sz w:val="24"/>
          <w:shd w:val="clear" w:color="auto" w:fill="FFFFFF"/>
          <w14:textFill>
            <w14:solidFill>
              <w14:schemeClr w14:val="tx1"/>
            </w14:solidFill>
          </w14:textFill>
        </w:rPr>
      </w:pPr>
    </w:p>
    <w:p w14:paraId="1BBAD370">
      <w:pPr>
        <w:rPr>
          <w:rFonts w:hint="eastAsia" w:ascii="宋体" w:hAnsi="宋体" w:cs="宋体"/>
          <w:color w:val="000000" w:themeColor="text1"/>
          <w:kern w:val="0"/>
          <w:sz w:val="24"/>
          <w:shd w:val="clear" w:color="auto" w:fill="FFFFFF"/>
          <w14:textFill>
            <w14:solidFill>
              <w14:schemeClr w14:val="tx1"/>
            </w14:solidFill>
          </w14:textFill>
        </w:rPr>
      </w:pPr>
    </w:p>
    <w:p w14:paraId="04055A4C">
      <w:pPr>
        <w:rPr>
          <w:rFonts w:hint="eastAsia" w:ascii="宋体" w:hAnsi="宋体" w:cs="宋体"/>
          <w:color w:val="000000" w:themeColor="text1"/>
          <w:kern w:val="0"/>
          <w:sz w:val="24"/>
          <w:shd w:val="clear" w:color="auto" w:fill="FFFFFF"/>
          <w14:textFill>
            <w14:solidFill>
              <w14:schemeClr w14:val="tx1"/>
            </w14:solidFill>
          </w14:textFill>
        </w:rPr>
      </w:pPr>
    </w:p>
    <w:p w14:paraId="4DD9125D">
      <w:pPr>
        <w:rPr>
          <w:rFonts w:hint="eastAsia" w:ascii="宋体" w:hAnsi="宋体" w:cs="宋体"/>
          <w:color w:val="000000" w:themeColor="text1"/>
          <w:kern w:val="0"/>
          <w:sz w:val="24"/>
          <w:shd w:val="clear" w:color="auto" w:fill="FFFFFF"/>
          <w14:textFill>
            <w14:solidFill>
              <w14:schemeClr w14:val="tx1"/>
            </w14:solidFill>
          </w14:textFill>
        </w:rPr>
      </w:pPr>
    </w:p>
    <w:p w14:paraId="40D6E18A">
      <w:pPr>
        <w:rPr>
          <w:rFonts w:hint="eastAsia" w:ascii="宋体" w:hAnsi="宋体" w:cs="宋体"/>
          <w:color w:val="000000" w:themeColor="text1"/>
          <w:kern w:val="0"/>
          <w:sz w:val="24"/>
          <w:shd w:val="clear" w:color="auto" w:fill="FFFFFF"/>
          <w14:textFill>
            <w14:solidFill>
              <w14:schemeClr w14:val="tx1"/>
            </w14:solidFill>
          </w14:textFill>
        </w:rPr>
      </w:pPr>
    </w:p>
    <w:p w14:paraId="0C486182">
      <w:pPr>
        <w:rPr>
          <w:rFonts w:hint="eastAsia" w:ascii="宋体" w:hAnsi="宋体" w:cs="宋体"/>
          <w:color w:val="000000" w:themeColor="text1"/>
          <w:kern w:val="0"/>
          <w:sz w:val="24"/>
          <w:shd w:val="clear" w:color="auto" w:fill="FFFFFF"/>
          <w14:textFill>
            <w14:solidFill>
              <w14:schemeClr w14:val="tx1"/>
            </w14:solidFill>
          </w14:textFill>
        </w:rPr>
      </w:pPr>
    </w:p>
    <w:p w14:paraId="5AD8A29D">
      <w:pPr>
        <w:rPr>
          <w:rFonts w:hint="eastAsia" w:ascii="宋体" w:hAnsi="宋体" w:cs="宋体"/>
          <w:color w:val="000000" w:themeColor="text1"/>
          <w:kern w:val="0"/>
          <w:sz w:val="24"/>
          <w:shd w:val="clear" w:color="auto" w:fill="FFFFFF"/>
          <w14:textFill>
            <w14:solidFill>
              <w14:schemeClr w14:val="tx1"/>
            </w14:solidFill>
          </w14:textFill>
        </w:rPr>
      </w:pPr>
    </w:p>
    <w:p w14:paraId="05654F3D">
      <w:pPr>
        <w:rPr>
          <w:rFonts w:hint="eastAsia" w:ascii="宋体" w:hAnsi="宋体" w:cs="宋体"/>
          <w:color w:val="000000" w:themeColor="text1"/>
          <w:kern w:val="0"/>
          <w:sz w:val="24"/>
          <w:shd w:val="clear" w:color="auto" w:fill="FFFFFF"/>
          <w14:textFill>
            <w14:solidFill>
              <w14:schemeClr w14:val="tx1"/>
            </w14:solidFill>
          </w14:textFill>
        </w:rPr>
      </w:pPr>
    </w:p>
    <w:p w14:paraId="38401665">
      <w:pPr>
        <w:rPr>
          <w:rFonts w:hint="eastAsia" w:ascii="宋体" w:hAnsi="宋体" w:cs="宋体"/>
          <w:color w:val="000000" w:themeColor="text1"/>
          <w:kern w:val="0"/>
          <w:sz w:val="24"/>
          <w:shd w:val="clear" w:color="auto" w:fill="FFFFFF"/>
          <w14:textFill>
            <w14:solidFill>
              <w14:schemeClr w14:val="tx1"/>
            </w14:solidFill>
          </w14:textFill>
        </w:rPr>
      </w:pPr>
    </w:p>
    <w:p w14:paraId="4A4CE255">
      <w:pPr>
        <w:rPr>
          <w:rFonts w:hint="eastAsia" w:ascii="宋体" w:hAnsi="宋体" w:cs="宋体"/>
          <w:color w:val="000000" w:themeColor="text1"/>
          <w:kern w:val="0"/>
          <w:sz w:val="24"/>
          <w:shd w:val="clear" w:color="auto" w:fill="FFFFFF"/>
          <w14:textFill>
            <w14:solidFill>
              <w14:schemeClr w14:val="tx1"/>
            </w14:solidFill>
          </w14:textFill>
        </w:rPr>
      </w:pPr>
    </w:p>
    <w:p w14:paraId="7A53C16F">
      <w:pPr>
        <w:rPr>
          <w:rFonts w:hint="eastAsia" w:ascii="宋体" w:hAnsi="宋体" w:cs="宋体"/>
          <w:color w:val="000000" w:themeColor="text1"/>
          <w:kern w:val="0"/>
          <w:sz w:val="24"/>
          <w:shd w:val="clear" w:color="auto" w:fill="FFFFFF"/>
          <w14:textFill>
            <w14:solidFill>
              <w14:schemeClr w14:val="tx1"/>
            </w14:solidFill>
          </w14:textFill>
        </w:rPr>
      </w:pPr>
    </w:p>
    <w:p w14:paraId="699F9E0C">
      <w:pPr>
        <w:jc w:val="center"/>
        <w:rPr>
          <w:rFonts w:hint="eastAsia"/>
          <w:b/>
          <w:bCs/>
          <w:sz w:val="24"/>
          <w:szCs w:val="24"/>
          <w:lang w:eastAsia="zh-CN"/>
        </w:rPr>
      </w:pPr>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0AED42E8">
      <w:pPr>
        <w:jc w:val="center"/>
        <w:rPr>
          <w:rFonts w:hint="eastAsia"/>
          <w:b/>
          <w:bCs/>
          <w:sz w:val="24"/>
          <w:szCs w:val="24"/>
          <w:lang w:val="en-US" w:eastAsia="zh-CN"/>
        </w:rPr>
      </w:pPr>
    </w:p>
    <w:p w14:paraId="30211C2A">
      <w:pPr>
        <w:jc w:val="center"/>
        <w:rPr>
          <w:rFonts w:hint="default"/>
          <w:b/>
          <w:bCs/>
          <w:sz w:val="24"/>
          <w:szCs w:val="24"/>
          <w:lang w:val="en-US" w:eastAsia="zh-CN"/>
        </w:rPr>
      </w:pPr>
      <w:r>
        <w:rPr>
          <w:rFonts w:hint="eastAsia"/>
          <w:b/>
          <w:bCs/>
          <w:sz w:val="24"/>
          <w:szCs w:val="24"/>
          <w:lang w:val="en-US" w:eastAsia="zh-CN"/>
        </w:rPr>
        <w:t>实施方案2</w:t>
      </w:r>
    </w:p>
    <w:p w14:paraId="09084250">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2.根据投标人提供的安装调试阶段的质量保证措施（包括①安装调试标准；②安装调试工具及安装调试人员配置情况；③安装调试过程中对产品的保护措施）进行评审：</w:t>
      </w:r>
    </w:p>
    <w:p w14:paraId="4DFC0268">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①安装调试标准：</w:t>
      </w:r>
    </w:p>
    <w:p w14:paraId="14D462E0">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提供安装调试方案，严格按照生产厂家出具的使用说明进行安装调试并提供相应标准的得0-1分；</w:t>
      </w:r>
    </w:p>
    <w:p w14:paraId="4D8F91CC">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②安装调试工具配置情况：</w:t>
      </w:r>
    </w:p>
    <w:p w14:paraId="0861BC96">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配备的安装调试工具先进适配，安装调试人员具有专业性，且在安装调试方面具备充足的经验的，完全满足安装调试要求的得0-1分；</w:t>
      </w:r>
    </w:p>
    <w:p w14:paraId="56D2B6DF">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③安装调试过程中对产品的保护措施：</w:t>
      </w:r>
    </w:p>
    <w:p w14:paraId="30267AFB">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在安装调试过程中的保护措施详细合理可行，保证对产品不会造成损坏的0-1分；</w:t>
      </w:r>
    </w:p>
    <w:p w14:paraId="1EC32524">
      <w:pPr>
        <w:rPr>
          <w:rFonts w:hint="eastAsia" w:ascii="宋体" w:hAnsi="宋体" w:cs="宋体"/>
          <w:color w:val="000000" w:themeColor="text1"/>
          <w:kern w:val="0"/>
          <w:sz w:val="24"/>
          <w:shd w:val="clear" w:color="auto" w:fill="FFFFFF"/>
          <w14:textFill>
            <w14:solidFill>
              <w14:schemeClr w14:val="tx1"/>
            </w14:solidFill>
          </w14:textFill>
        </w:rPr>
      </w:pPr>
    </w:p>
    <w:p w14:paraId="0BF71808">
      <w:pPr>
        <w:rPr>
          <w:rFonts w:hint="eastAsia" w:ascii="宋体" w:hAnsi="宋体" w:cs="宋体"/>
          <w:color w:val="000000" w:themeColor="text1"/>
          <w:kern w:val="0"/>
          <w:sz w:val="24"/>
          <w:shd w:val="clear" w:color="auto" w:fill="FFFFFF"/>
          <w14:textFill>
            <w14:solidFill>
              <w14:schemeClr w14:val="tx1"/>
            </w14:solidFill>
          </w14:textFill>
        </w:rPr>
      </w:pPr>
    </w:p>
    <w:p w14:paraId="06800D8C">
      <w:pPr>
        <w:rPr>
          <w:rFonts w:hint="eastAsia" w:ascii="宋体" w:hAnsi="宋体" w:cs="宋体"/>
          <w:color w:val="000000" w:themeColor="text1"/>
          <w:kern w:val="0"/>
          <w:sz w:val="24"/>
          <w:shd w:val="clear" w:color="auto" w:fill="FFFFFF"/>
          <w14:textFill>
            <w14:solidFill>
              <w14:schemeClr w14:val="tx1"/>
            </w14:solidFill>
          </w14:textFill>
        </w:rPr>
      </w:pPr>
    </w:p>
    <w:p w14:paraId="2FCC0936">
      <w:pPr>
        <w:rPr>
          <w:rFonts w:hint="eastAsia" w:ascii="宋体" w:hAnsi="宋体" w:cs="宋体"/>
          <w:color w:val="000000" w:themeColor="text1"/>
          <w:kern w:val="0"/>
          <w:sz w:val="24"/>
          <w:shd w:val="clear" w:color="auto" w:fill="FFFFFF"/>
          <w14:textFill>
            <w14:solidFill>
              <w14:schemeClr w14:val="tx1"/>
            </w14:solidFill>
          </w14:textFill>
        </w:rPr>
      </w:pPr>
    </w:p>
    <w:p w14:paraId="54331B8E">
      <w:pPr>
        <w:rPr>
          <w:rFonts w:hint="eastAsia" w:ascii="宋体" w:hAnsi="宋体" w:cs="宋体"/>
          <w:color w:val="000000" w:themeColor="text1"/>
          <w:kern w:val="0"/>
          <w:sz w:val="24"/>
          <w:shd w:val="clear" w:color="auto" w:fill="FFFFFF"/>
          <w14:textFill>
            <w14:solidFill>
              <w14:schemeClr w14:val="tx1"/>
            </w14:solidFill>
          </w14:textFill>
        </w:rPr>
      </w:pPr>
    </w:p>
    <w:p w14:paraId="6AB1F946">
      <w:pPr>
        <w:rPr>
          <w:rFonts w:hint="eastAsia" w:ascii="宋体" w:hAnsi="宋体" w:cs="宋体"/>
          <w:color w:val="000000" w:themeColor="text1"/>
          <w:kern w:val="0"/>
          <w:sz w:val="24"/>
          <w:shd w:val="clear" w:color="auto" w:fill="FFFFFF"/>
          <w14:textFill>
            <w14:solidFill>
              <w14:schemeClr w14:val="tx1"/>
            </w14:solidFill>
          </w14:textFill>
        </w:rPr>
      </w:pPr>
    </w:p>
    <w:p w14:paraId="7176D560">
      <w:pPr>
        <w:rPr>
          <w:rFonts w:hint="eastAsia" w:ascii="宋体" w:hAnsi="宋体" w:cs="宋体"/>
          <w:color w:val="000000" w:themeColor="text1"/>
          <w:kern w:val="0"/>
          <w:sz w:val="24"/>
          <w:shd w:val="clear" w:color="auto" w:fill="FFFFFF"/>
          <w14:textFill>
            <w14:solidFill>
              <w14:schemeClr w14:val="tx1"/>
            </w14:solidFill>
          </w14:textFill>
        </w:rPr>
      </w:pPr>
    </w:p>
    <w:p w14:paraId="7EEF96A8">
      <w:pPr>
        <w:rPr>
          <w:rFonts w:hint="eastAsia" w:ascii="宋体" w:hAnsi="宋体" w:cs="宋体"/>
          <w:color w:val="000000" w:themeColor="text1"/>
          <w:kern w:val="0"/>
          <w:sz w:val="24"/>
          <w:shd w:val="clear" w:color="auto" w:fill="FFFFFF"/>
          <w14:textFill>
            <w14:solidFill>
              <w14:schemeClr w14:val="tx1"/>
            </w14:solidFill>
          </w14:textFill>
        </w:rPr>
      </w:pPr>
    </w:p>
    <w:p w14:paraId="067DC270">
      <w:pPr>
        <w:rPr>
          <w:rFonts w:hint="eastAsia" w:ascii="宋体" w:hAnsi="宋体" w:cs="宋体"/>
          <w:color w:val="000000" w:themeColor="text1"/>
          <w:kern w:val="0"/>
          <w:sz w:val="24"/>
          <w:shd w:val="clear" w:color="auto" w:fill="FFFFFF"/>
          <w14:textFill>
            <w14:solidFill>
              <w14:schemeClr w14:val="tx1"/>
            </w14:solidFill>
          </w14:textFill>
        </w:rPr>
      </w:pPr>
    </w:p>
    <w:p w14:paraId="7796B3F0">
      <w:pPr>
        <w:rPr>
          <w:rFonts w:hint="eastAsia" w:ascii="宋体" w:hAnsi="宋体" w:cs="宋体"/>
          <w:color w:val="000000" w:themeColor="text1"/>
          <w:kern w:val="0"/>
          <w:sz w:val="24"/>
          <w:shd w:val="clear" w:color="auto" w:fill="FFFFFF"/>
          <w14:textFill>
            <w14:solidFill>
              <w14:schemeClr w14:val="tx1"/>
            </w14:solidFill>
          </w14:textFill>
        </w:rPr>
      </w:pPr>
    </w:p>
    <w:p w14:paraId="08CB7C30">
      <w:pPr>
        <w:rPr>
          <w:rFonts w:hint="eastAsia" w:ascii="宋体" w:hAnsi="宋体" w:cs="宋体"/>
          <w:color w:val="000000" w:themeColor="text1"/>
          <w:kern w:val="0"/>
          <w:sz w:val="24"/>
          <w:shd w:val="clear" w:color="auto" w:fill="FFFFFF"/>
          <w14:textFill>
            <w14:solidFill>
              <w14:schemeClr w14:val="tx1"/>
            </w14:solidFill>
          </w14:textFill>
        </w:rPr>
      </w:pPr>
    </w:p>
    <w:p w14:paraId="1B6BC6BB">
      <w:pPr>
        <w:rPr>
          <w:rFonts w:hint="eastAsia" w:ascii="宋体" w:hAnsi="宋体" w:cs="宋体"/>
          <w:color w:val="000000" w:themeColor="text1"/>
          <w:kern w:val="0"/>
          <w:sz w:val="24"/>
          <w:shd w:val="clear" w:color="auto" w:fill="FFFFFF"/>
          <w14:textFill>
            <w14:solidFill>
              <w14:schemeClr w14:val="tx1"/>
            </w14:solidFill>
          </w14:textFill>
        </w:rPr>
      </w:pPr>
    </w:p>
    <w:p w14:paraId="33541DB5">
      <w:pPr>
        <w:rPr>
          <w:rFonts w:hint="eastAsia" w:ascii="宋体" w:hAnsi="宋体" w:cs="宋体"/>
          <w:color w:val="000000" w:themeColor="text1"/>
          <w:kern w:val="0"/>
          <w:sz w:val="24"/>
          <w:shd w:val="clear" w:color="auto" w:fill="FFFFFF"/>
          <w14:textFill>
            <w14:solidFill>
              <w14:schemeClr w14:val="tx1"/>
            </w14:solidFill>
          </w14:textFill>
        </w:rPr>
      </w:pPr>
    </w:p>
    <w:p w14:paraId="6B8AC308">
      <w:pPr>
        <w:rPr>
          <w:rFonts w:hint="eastAsia" w:ascii="宋体" w:hAnsi="宋体" w:cs="宋体"/>
          <w:color w:val="000000" w:themeColor="text1"/>
          <w:kern w:val="0"/>
          <w:sz w:val="24"/>
          <w:shd w:val="clear" w:color="auto" w:fill="FFFFFF"/>
          <w14:textFill>
            <w14:solidFill>
              <w14:schemeClr w14:val="tx1"/>
            </w14:solidFill>
          </w14:textFill>
        </w:rPr>
      </w:pPr>
    </w:p>
    <w:p w14:paraId="0EA96350">
      <w:pPr>
        <w:rPr>
          <w:rFonts w:hint="eastAsia" w:ascii="宋体" w:hAnsi="宋体" w:cs="宋体"/>
          <w:color w:val="000000" w:themeColor="text1"/>
          <w:kern w:val="0"/>
          <w:sz w:val="24"/>
          <w:shd w:val="clear" w:color="auto" w:fill="FFFFFF"/>
          <w14:textFill>
            <w14:solidFill>
              <w14:schemeClr w14:val="tx1"/>
            </w14:solidFill>
          </w14:textFill>
        </w:rPr>
      </w:pPr>
    </w:p>
    <w:p w14:paraId="3A6D1B4E">
      <w:pPr>
        <w:rPr>
          <w:rFonts w:hint="eastAsia" w:ascii="宋体" w:hAnsi="宋体" w:cs="宋体"/>
          <w:color w:val="000000" w:themeColor="text1"/>
          <w:kern w:val="0"/>
          <w:sz w:val="24"/>
          <w:shd w:val="clear" w:color="auto" w:fill="FFFFFF"/>
          <w14:textFill>
            <w14:solidFill>
              <w14:schemeClr w14:val="tx1"/>
            </w14:solidFill>
          </w14:textFill>
        </w:rPr>
      </w:pPr>
    </w:p>
    <w:p w14:paraId="6C37BF77">
      <w:pPr>
        <w:rPr>
          <w:rFonts w:hint="eastAsia" w:ascii="宋体" w:hAnsi="宋体" w:cs="宋体"/>
          <w:color w:val="000000" w:themeColor="text1"/>
          <w:kern w:val="0"/>
          <w:sz w:val="24"/>
          <w:shd w:val="clear" w:color="auto" w:fill="FFFFFF"/>
          <w14:textFill>
            <w14:solidFill>
              <w14:schemeClr w14:val="tx1"/>
            </w14:solidFill>
          </w14:textFill>
        </w:rPr>
      </w:pPr>
    </w:p>
    <w:p w14:paraId="2136ABEB">
      <w:pPr>
        <w:rPr>
          <w:rFonts w:hint="eastAsia" w:ascii="宋体" w:hAnsi="宋体" w:cs="宋体"/>
          <w:color w:val="000000" w:themeColor="text1"/>
          <w:kern w:val="0"/>
          <w:sz w:val="24"/>
          <w:shd w:val="clear" w:color="auto" w:fill="FFFFFF"/>
          <w14:textFill>
            <w14:solidFill>
              <w14:schemeClr w14:val="tx1"/>
            </w14:solidFill>
          </w14:textFill>
        </w:rPr>
      </w:pPr>
    </w:p>
    <w:p w14:paraId="4D60B5D7">
      <w:pPr>
        <w:rPr>
          <w:rFonts w:hint="eastAsia" w:ascii="宋体" w:hAnsi="宋体" w:cs="宋体"/>
          <w:color w:val="000000" w:themeColor="text1"/>
          <w:kern w:val="0"/>
          <w:sz w:val="24"/>
          <w:shd w:val="clear" w:color="auto" w:fill="FFFFFF"/>
          <w14:textFill>
            <w14:solidFill>
              <w14:schemeClr w14:val="tx1"/>
            </w14:solidFill>
          </w14:textFill>
        </w:rPr>
      </w:pPr>
    </w:p>
    <w:p w14:paraId="18A13729">
      <w:pPr>
        <w:rPr>
          <w:rFonts w:hint="eastAsia" w:ascii="宋体" w:hAnsi="宋体" w:cs="宋体"/>
          <w:color w:val="000000" w:themeColor="text1"/>
          <w:kern w:val="0"/>
          <w:sz w:val="24"/>
          <w:shd w:val="clear" w:color="auto" w:fill="FFFFFF"/>
          <w14:textFill>
            <w14:solidFill>
              <w14:schemeClr w14:val="tx1"/>
            </w14:solidFill>
          </w14:textFill>
        </w:rPr>
      </w:pPr>
    </w:p>
    <w:p w14:paraId="43D2D7FD">
      <w:pPr>
        <w:rPr>
          <w:rFonts w:hint="eastAsia" w:ascii="宋体" w:hAnsi="宋体" w:cs="宋体"/>
          <w:color w:val="000000" w:themeColor="text1"/>
          <w:kern w:val="0"/>
          <w:sz w:val="24"/>
          <w:shd w:val="clear" w:color="auto" w:fill="FFFFFF"/>
          <w14:textFill>
            <w14:solidFill>
              <w14:schemeClr w14:val="tx1"/>
            </w14:solidFill>
          </w14:textFill>
        </w:rPr>
      </w:pPr>
    </w:p>
    <w:p w14:paraId="26D8EE6E">
      <w:pPr>
        <w:rPr>
          <w:rFonts w:hint="eastAsia" w:ascii="宋体" w:hAnsi="宋体" w:cs="宋体"/>
          <w:color w:val="000000" w:themeColor="text1"/>
          <w:kern w:val="0"/>
          <w:sz w:val="24"/>
          <w:shd w:val="clear" w:color="auto" w:fill="FFFFFF"/>
          <w14:textFill>
            <w14:solidFill>
              <w14:schemeClr w14:val="tx1"/>
            </w14:solidFill>
          </w14:textFill>
        </w:rPr>
      </w:pPr>
    </w:p>
    <w:p w14:paraId="4C8AED24">
      <w:pPr>
        <w:rPr>
          <w:rFonts w:hint="eastAsia" w:ascii="宋体" w:hAnsi="宋体" w:cs="宋体"/>
          <w:color w:val="000000" w:themeColor="text1"/>
          <w:kern w:val="0"/>
          <w:sz w:val="24"/>
          <w:shd w:val="clear" w:color="auto" w:fill="FFFFFF"/>
          <w14:textFill>
            <w14:solidFill>
              <w14:schemeClr w14:val="tx1"/>
            </w14:solidFill>
          </w14:textFill>
        </w:rPr>
      </w:pPr>
    </w:p>
    <w:p w14:paraId="01334655">
      <w:pPr>
        <w:rPr>
          <w:rFonts w:hint="eastAsia" w:ascii="宋体" w:hAnsi="宋体" w:cs="宋体"/>
          <w:color w:val="000000" w:themeColor="text1"/>
          <w:kern w:val="0"/>
          <w:sz w:val="24"/>
          <w:shd w:val="clear" w:color="auto" w:fill="FFFFFF"/>
          <w14:textFill>
            <w14:solidFill>
              <w14:schemeClr w14:val="tx1"/>
            </w14:solidFill>
          </w14:textFill>
        </w:rPr>
      </w:pPr>
    </w:p>
    <w:p w14:paraId="7B03C26E">
      <w:pPr>
        <w:jc w:val="center"/>
        <w:rPr>
          <w:rFonts w:hint="eastAsia"/>
          <w:b/>
          <w:bCs/>
          <w:sz w:val="24"/>
          <w:szCs w:val="24"/>
          <w:lang w:eastAsia="zh-CN"/>
        </w:rPr>
      </w:pPr>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02D1F689">
      <w:pPr>
        <w:jc w:val="center"/>
        <w:rPr>
          <w:rFonts w:hint="eastAsia"/>
          <w:b/>
          <w:bCs/>
          <w:sz w:val="24"/>
          <w:szCs w:val="24"/>
          <w:lang w:eastAsia="zh-CN"/>
        </w:rPr>
      </w:pPr>
    </w:p>
    <w:p w14:paraId="17EDFF7D">
      <w:pPr>
        <w:jc w:val="center"/>
        <w:rPr>
          <w:rFonts w:hint="eastAsia" w:ascii="宋体" w:hAnsi="宋体" w:eastAsia="宋体" w:cs="宋体"/>
          <w:color w:val="000000" w:themeColor="text1"/>
          <w:kern w:val="0"/>
          <w:sz w:val="24"/>
          <w:shd w:val="clear" w:color="auto" w:fill="FFFFFF"/>
          <w:lang w:val="en-US"/>
          <w14:textFill>
            <w14:solidFill>
              <w14:schemeClr w14:val="tx1"/>
            </w14:solidFill>
          </w14:textFill>
        </w:rPr>
      </w:pPr>
      <w:r>
        <w:rPr>
          <w:rFonts w:hint="eastAsia"/>
          <w:b/>
          <w:bCs/>
          <w:sz w:val="24"/>
          <w:szCs w:val="24"/>
          <w:lang w:val="en-US" w:eastAsia="zh-CN"/>
        </w:rPr>
        <w:t>实施方案</w:t>
      </w:r>
      <w:r>
        <w:rPr>
          <w:rFonts w:hint="eastAsia" w:ascii="宋体" w:hAnsi="宋体" w:eastAsia="宋体" w:cs="宋体"/>
          <w:b/>
          <w:bCs/>
          <w:sz w:val="24"/>
          <w:szCs w:val="24"/>
          <w:lang w:val="en-US" w:eastAsia="zh-CN"/>
        </w:rPr>
        <w:t>3</w:t>
      </w:r>
    </w:p>
    <w:p w14:paraId="71271C48">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3.根据投标人针对本项目具有可行的技术培训方案，培训采购人指定的操作和维修人员，制定培训课程计划表，列出培训的地点和时间，培训内容应包括所提供设备的原理和技术性能、操作维护方法、安装调试、排除故障等各个方面，培训的具体日期及人数由使用单位确定。确保培训后的人员应能熟练操作设备，了解设备结构、工作原理，并能排除一般故障进行评审：</w:t>
      </w:r>
    </w:p>
    <w:p w14:paraId="7D334486">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①培训课程计划、大纲及设备使用培训方案</w:t>
      </w:r>
    </w:p>
    <w:p w14:paraId="401935BA">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 xml:space="preserve">提供培训课程计划，列出培训的地点和时间，根据培训课程计划内容，根据设备使用培训方案内容得0-1分。 </w:t>
      </w:r>
    </w:p>
    <w:p w14:paraId="69E5FF34">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②设备的原理和技术性能、操作维护方法、排除故障方法等培训方案</w:t>
      </w:r>
    </w:p>
    <w:p w14:paraId="5EB5DED7">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 xml:space="preserve">提供培训设备的原理和技术性能、操作维护方法、排除故障方法等培训方案，根据培训方案内容得0-1分。 </w:t>
      </w:r>
    </w:p>
    <w:p w14:paraId="792E6752">
      <w:pPr>
        <w:rPr>
          <w:rFonts w:hint="eastAsia" w:ascii="宋体" w:hAnsi="宋体" w:cs="宋体"/>
          <w:color w:val="000000" w:themeColor="text1"/>
          <w:kern w:val="0"/>
          <w:sz w:val="24"/>
          <w:shd w:val="clear" w:color="auto" w:fill="FFFFFF"/>
          <w14:textFill>
            <w14:solidFill>
              <w14:schemeClr w14:val="tx1"/>
            </w14:solidFill>
          </w14:textFill>
        </w:rPr>
      </w:pPr>
    </w:p>
    <w:p w14:paraId="6F54D1A7">
      <w:pPr>
        <w:rPr>
          <w:rFonts w:hint="eastAsia" w:ascii="宋体" w:hAnsi="宋体" w:cs="宋体"/>
          <w:color w:val="000000" w:themeColor="text1"/>
          <w:kern w:val="0"/>
          <w:sz w:val="24"/>
          <w:shd w:val="clear" w:color="auto" w:fill="FFFFFF"/>
          <w14:textFill>
            <w14:solidFill>
              <w14:schemeClr w14:val="tx1"/>
            </w14:solidFill>
          </w14:textFill>
        </w:rPr>
      </w:pPr>
    </w:p>
    <w:p w14:paraId="7B952910">
      <w:pPr>
        <w:rPr>
          <w:rFonts w:hint="eastAsia" w:ascii="宋体" w:hAnsi="宋体" w:cs="宋体"/>
          <w:color w:val="000000" w:themeColor="text1"/>
          <w:kern w:val="0"/>
          <w:sz w:val="24"/>
          <w:shd w:val="clear" w:color="auto" w:fill="FFFFFF"/>
          <w14:textFill>
            <w14:solidFill>
              <w14:schemeClr w14:val="tx1"/>
            </w14:solidFill>
          </w14:textFill>
        </w:rPr>
      </w:pPr>
    </w:p>
    <w:p w14:paraId="6F26B17A">
      <w:pPr>
        <w:rPr>
          <w:rFonts w:hint="eastAsia" w:ascii="宋体" w:hAnsi="宋体" w:cs="宋体"/>
          <w:color w:val="000000" w:themeColor="text1"/>
          <w:kern w:val="0"/>
          <w:sz w:val="24"/>
          <w:shd w:val="clear" w:color="auto" w:fill="FFFFFF"/>
          <w14:textFill>
            <w14:solidFill>
              <w14:schemeClr w14:val="tx1"/>
            </w14:solidFill>
          </w14:textFill>
        </w:rPr>
      </w:pPr>
    </w:p>
    <w:p w14:paraId="48170B87">
      <w:pPr>
        <w:rPr>
          <w:rFonts w:hint="eastAsia" w:ascii="宋体" w:hAnsi="宋体" w:cs="宋体"/>
          <w:color w:val="000000" w:themeColor="text1"/>
          <w:kern w:val="0"/>
          <w:sz w:val="24"/>
          <w:shd w:val="clear" w:color="auto" w:fill="FFFFFF"/>
          <w14:textFill>
            <w14:solidFill>
              <w14:schemeClr w14:val="tx1"/>
            </w14:solidFill>
          </w14:textFill>
        </w:rPr>
      </w:pPr>
    </w:p>
    <w:p w14:paraId="223B4579">
      <w:pPr>
        <w:rPr>
          <w:rFonts w:hint="eastAsia" w:ascii="宋体" w:hAnsi="宋体" w:cs="宋体"/>
          <w:color w:val="000000" w:themeColor="text1"/>
          <w:kern w:val="0"/>
          <w:sz w:val="24"/>
          <w:shd w:val="clear" w:color="auto" w:fill="FFFFFF"/>
          <w14:textFill>
            <w14:solidFill>
              <w14:schemeClr w14:val="tx1"/>
            </w14:solidFill>
          </w14:textFill>
        </w:rPr>
      </w:pPr>
    </w:p>
    <w:p w14:paraId="5CE57701">
      <w:pPr>
        <w:rPr>
          <w:rFonts w:hint="eastAsia" w:ascii="宋体" w:hAnsi="宋体" w:cs="宋体"/>
          <w:color w:val="000000" w:themeColor="text1"/>
          <w:kern w:val="0"/>
          <w:sz w:val="24"/>
          <w:shd w:val="clear" w:color="auto" w:fill="FFFFFF"/>
          <w14:textFill>
            <w14:solidFill>
              <w14:schemeClr w14:val="tx1"/>
            </w14:solidFill>
          </w14:textFill>
        </w:rPr>
      </w:pPr>
    </w:p>
    <w:p w14:paraId="0E791449">
      <w:pPr>
        <w:rPr>
          <w:rFonts w:hint="eastAsia" w:ascii="宋体" w:hAnsi="宋体" w:cs="宋体"/>
          <w:color w:val="000000" w:themeColor="text1"/>
          <w:kern w:val="0"/>
          <w:sz w:val="24"/>
          <w:shd w:val="clear" w:color="auto" w:fill="FFFFFF"/>
          <w14:textFill>
            <w14:solidFill>
              <w14:schemeClr w14:val="tx1"/>
            </w14:solidFill>
          </w14:textFill>
        </w:rPr>
      </w:pPr>
    </w:p>
    <w:p w14:paraId="3075C4BF">
      <w:pPr>
        <w:rPr>
          <w:rFonts w:hint="eastAsia" w:ascii="宋体" w:hAnsi="宋体" w:cs="宋体"/>
          <w:color w:val="000000" w:themeColor="text1"/>
          <w:kern w:val="0"/>
          <w:sz w:val="24"/>
          <w:shd w:val="clear" w:color="auto" w:fill="FFFFFF"/>
          <w14:textFill>
            <w14:solidFill>
              <w14:schemeClr w14:val="tx1"/>
            </w14:solidFill>
          </w14:textFill>
        </w:rPr>
      </w:pPr>
    </w:p>
    <w:p w14:paraId="71F22AFC">
      <w:pPr>
        <w:rPr>
          <w:rFonts w:hint="eastAsia" w:ascii="宋体" w:hAnsi="宋体" w:cs="宋体"/>
          <w:color w:val="000000" w:themeColor="text1"/>
          <w:kern w:val="0"/>
          <w:sz w:val="24"/>
          <w:shd w:val="clear" w:color="auto" w:fill="FFFFFF"/>
          <w14:textFill>
            <w14:solidFill>
              <w14:schemeClr w14:val="tx1"/>
            </w14:solidFill>
          </w14:textFill>
        </w:rPr>
      </w:pPr>
    </w:p>
    <w:p w14:paraId="683A7BD1">
      <w:pPr>
        <w:rPr>
          <w:rFonts w:hint="eastAsia" w:ascii="宋体" w:hAnsi="宋体" w:cs="宋体"/>
          <w:color w:val="000000" w:themeColor="text1"/>
          <w:kern w:val="0"/>
          <w:sz w:val="24"/>
          <w:shd w:val="clear" w:color="auto" w:fill="FFFFFF"/>
          <w14:textFill>
            <w14:solidFill>
              <w14:schemeClr w14:val="tx1"/>
            </w14:solidFill>
          </w14:textFill>
        </w:rPr>
      </w:pPr>
    </w:p>
    <w:p w14:paraId="5CB6B23D">
      <w:pPr>
        <w:rPr>
          <w:rFonts w:hint="eastAsia" w:ascii="宋体" w:hAnsi="宋体" w:cs="宋体"/>
          <w:color w:val="000000" w:themeColor="text1"/>
          <w:kern w:val="0"/>
          <w:sz w:val="24"/>
          <w:shd w:val="clear" w:color="auto" w:fill="FFFFFF"/>
          <w14:textFill>
            <w14:solidFill>
              <w14:schemeClr w14:val="tx1"/>
            </w14:solidFill>
          </w14:textFill>
        </w:rPr>
      </w:pPr>
    </w:p>
    <w:p w14:paraId="6344C92F">
      <w:pPr>
        <w:rPr>
          <w:rFonts w:hint="eastAsia" w:ascii="宋体" w:hAnsi="宋体" w:cs="宋体"/>
          <w:color w:val="000000" w:themeColor="text1"/>
          <w:kern w:val="0"/>
          <w:sz w:val="24"/>
          <w:shd w:val="clear" w:color="auto" w:fill="FFFFFF"/>
          <w14:textFill>
            <w14:solidFill>
              <w14:schemeClr w14:val="tx1"/>
            </w14:solidFill>
          </w14:textFill>
        </w:rPr>
      </w:pPr>
    </w:p>
    <w:p w14:paraId="7D6FF449">
      <w:pPr>
        <w:rPr>
          <w:rFonts w:hint="eastAsia" w:ascii="宋体" w:hAnsi="宋体" w:cs="宋体"/>
          <w:color w:val="000000" w:themeColor="text1"/>
          <w:kern w:val="0"/>
          <w:sz w:val="24"/>
          <w:shd w:val="clear" w:color="auto" w:fill="FFFFFF"/>
          <w14:textFill>
            <w14:solidFill>
              <w14:schemeClr w14:val="tx1"/>
            </w14:solidFill>
          </w14:textFill>
        </w:rPr>
      </w:pPr>
    </w:p>
    <w:p w14:paraId="6DDC9951">
      <w:pPr>
        <w:rPr>
          <w:rFonts w:hint="eastAsia" w:ascii="宋体" w:hAnsi="宋体" w:cs="宋体"/>
          <w:color w:val="000000" w:themeColor="text1"/>
          <w:kern w:val="0"/>
          <w:sz w:val="24"/>
          <w:shd w:val="clear" w:color="auto" w:fill="FFFFFF"/>
          <w14:textFill>
            <w14:solidFill>
              <w14:schemeClr w14:val="tx1"/>
            </w14:solidFill>
          </w14:textFill>
        </w:rPr>
      </w:pPr>
    </w:p>
    <w:p w14:paraId="3B46D93F">
      <w:pPr>
        <w:rPr>
          <w:rFonts w:hint="eastAsia" w:ascii="宋体" w:hAnsi="宋体" w:cs="宋体"/>
          <w:color w:val="000000" w:themeColor="text1"/>
          <w:kern w:val="0"/>
          <w:sz w:val="24"/>
          <w:shd w:val="clear" w:color="auto" w:fill="FFFFFF"/>
          <w14:textFill>
            <w14:solidFill>
              <w14:schemeClr w14:val="tx1"/>
            </w14:solidFill>
          </w14:textFill>
        </w:rPr>
      </w:pPr>
    </w:p>
    <w:p w14:paraId="62263580">
      <w:pPr>
        <w:rPr>
          <w:rFonts w:hint="eastAsia" w:ascii="宋体" w:hAnsi="宋体" w:cs="宋体"/>
          <w:color w:val="000000" w:themeColor="text1"/>
          <w:kern w:val="0"/>
          <w:sz w:val="24"/>
          <w:shd w:val="clear" w:color="auto" w:fill="FFFFFF"/>
          <w14:textFill>
            <w14:solidFill>
              <w14:schemeClr w14:val="tx1"/>
            </w14:solidFill>
          </w14:textFill>
        </w:rPr>
      </w:pPr>
    </w:p>
    <w:p w14:paraId="1FE7F4F4">
      <w:pPr>
        <w:rPr>
          <w:rFonts w:hint="eastAsia" w:ascii="宋体" w:hAnsi="宋体" w:cs="宋体"/>
          <w:color w:val="000000" w:themeColor="text1"/>
          <w:kern w:val="0"/>
          <w:sz w:val="24"/>
          <w:shd w:val="clear" w:color="auto" w:fill="FFFFFF"/>
          <w14:textFill>
            <w14:solidFill>
              <w14:schemeClr w14:val="tx1"/>
            </w14:solidFill>
          </w14:textFill>
        </w:rPr>
      </w:pPr>
    </w:p>
    <w:p w14:paraId="3E415E1D">
      <w:pPr>
        <w:rPr>
          <w:rFonts w:hint="eastAsia" w:ascii="宋体" w:hAnsi="宋体" w:cs="宋体"/>
          <w:color w:val="000000" w:themeColor="text1"/>
          <w:kern w:val="0"/>
          <w:sz w:val="24"/>
          <w:shd w:val="clear" w:color="auto" w:fill="FFFFFF"/>
          <w14:textFill>
            <w14:solidFill>
              <w14:schemeClr w14:val="tx1"/>
            </w14:solidFill>
          </w14:textFill>
        </w:rPr>
      </w:pPr>
    </w:p>
    <w:p w14:paraId="68BDE2CE">
      <w:pPr>
        <w:rPr>
          <w:rFonts w:hint="eastAsia" w:ascii="宋体" w:hAnsi="宋体" w:cs="宋体"/>
          <w:color w:val="000000" w:themeColor="text1"/>
          <w:kern w:val="0"/>
          <w:sz w:val="24"/>
          <w:shd w:val="clear" w:color="auto" w:fill="FFFFFF"/>
          <w14:textFill>
            <w14:solidFill>
              <w14:schemeClr w14:val="tx1"/>
            </w14:solidFill>
          </w14:textFill>
        </w:rPr>
      </w:pPr>
    </w:p>
    <w:p w14:paraId="738E53FE">
      <w:pPr>
        <w:rPr>
          <w:rFonts w:hint="eastAsia" w:ascii="宋体" w:hAnsi="宋体" w:cs="宋体"/>
          <w:color w:val="000000" w:themeColor="text1"/>
          <w:kern w:val="0"/>
          <w:sz w:val="24"/>
          <w:shd w:val="clear" w:color="auto" w:fill="FFFFFF"/>
          <w14:textFill>
            <w14:solidFill>
              <w14:schemeClr w14:val="tx1"/>
            </w14:solidFill>
          </w14:textFill>
        </w:rPr>
      </w:pPr>
    </w:p>
    <w:p w14:paraId="17C7F143">
      <w:pPr>
        <w:rPr>
          <w:rFonts w:hint="eastAsia" w:ascii="宋体" w:hAnsi="宋体" w:cs="宋体"/>
          <w:color w:val="000000" w:themeColor="text1"/>
          <w:kern w:val="0"/>
          <w:sz w:val="24"/>
          <w:shd w:val="clear" w:color="auto" w:fill="FFFFFF"/>
          <w14:textFill>
            <w14:solidFill>
              <w14:schemeClr w14:val="tx1"/>
            </w14:solidFill>
          </w14:textFill>
        </w:rPr>
      </w:pPr>
    </w:p>
    <w:p w14:paraId="43CA1677">
      <w:pPr>
        <w:rPr>
          <w:rFonts w:hint="eastAsia" w:ascii="宋体" w:hAnsi="宋体" w:cs="宋体"/>
          <w:color w:val="000000" w:themeColor="text1"/>
          <w:kern w:val="0"/>
          <w:sz w:val="24"/>
          <w:shd w:val="clear" w:color="auto" w:fill="FFFFFF"/>
          <w14:textFill>
            <w14:solidFill>
              <w14:schemeClr w14:val="tx1"/>
            </w14:solidFill>
          </w14:textFill>
        </w:rPr>
      </w:pPr>
    </w:p>
    <w:p w14:paraId="416AC339">
      <w:pPr>
        <w:rPr>
          <w:rFonts w:hint="eastAsia" w:ascii="宋体" w:hAnsi="宋体" w:cs="宋体"/>
          <w:color w:val="000000" w:themeColor="text1"/>
          <w:kern w:val="0"/>
          <w:sz w:val="24"/>
          <w:shd w:val="clear" w:color="auto" w:fill="FFFFFF"/>
          <w14:textFill>
            <w14:solidFill>
              <w14:schemeClr w14:val="tx1"/>
            </w14:solidFill>
          </w14:textFill>
        </w:rPr>
      </w:pPr>
    </w:p>
    <w:p w14:paraId="1B09900C">
      <w:pPr>
        <w:rPr>
          <w:rFonts w:hint="eastAsia" w:ascii="宋体" w:hAnsi="宋体" w:cs="宋体"/>
          <w:color w:val="000000" w:themeColor="text1"/>
          <w:kern w:val="0"/>
          <w:sz w:val="24"/>
          <w:shd w:val="clear" w:color="auto" w:fill="FFFFFF"/>
          <w14:textFill>
            <w14:solidFill>
              <w14:schemeClr w14:val="tx1"/>
            </w14:solidFill>
          </w14:textFill>
        </w:rPr>
      </w:pPr>
    </w:p>
    <w:p w14:paraId="6BDA79C2">
      <w:pPr>
        <w:rPr>
          <w:rFonts w:hint="eastAsia" w:ascii="宋体" w:hAnsi="宋体" w:cs="宋体"/>
          <w:color w:val="000000" w:themeColor="text1"/>
          <w:kern w:val="0"/>
          <w:sz w:val="24"/>
          <w:shd w:val="clear" w:color="auto" w:fill="FFFFFF"/>
          <w14:textFill>
            <w14:solidFill>
              <w14:schemeClr w14:val="tx1"/>
            </w14:solidFill>
          </w14:textFill>
        </w:rPr>
      </w:pPr>
    </w:p>
    <w:p w14:paraId="63CF42CE">
      <w:pPr>
        <w:jc w:val="center"/>
        <w:rPr>
          <w:rFonts w:hint="eastAsia"/>
          <w:b/>
          <w:bCs/>
          <w:sz w:val="24"/>
          <w:szCs w:val="24"/>
          <w:lang w:eastAsia="zh-CN"/>
        </w:rPr>
      </w:pPr>
      <w:r>
        <w:rPr>
          <w:rFonts w:hint="eastAsia"/>
          <w:b/>
          <w:bCs/>
          <w:sz w:val="24"/>
          <w:szCs w:val="24"/>
          <w:lang w:eastAsia="zh-CN"/>
        </w:rPr>
        <w:t>投标人根据本项目评标办法，自行拟定</w:t>
      </w:r>
      <w:r>
        <w:rPr>
          <w:rFonts w:hint="eastAsia"/>
          <w:b/>
          <w:bCs/>
          <w:sz w:val="24"/>
          <w:szCs w:val="24"/>
          <w:lang w:val="en-US" w:eastAsia="zh-CN"/>
        </w:rPr>
        <w:t>实施方案</w:t>
      </w:r>
      <w:r>
        <w:rPr>
          <w:rFonts w:hint="eastAsia"/>
          <w:b/>
          <w:bCs/>
          <w:sz w:val="24"/>
          <w:szCs w:val="24"/>
          <w:lang w:eastAsia="zh-CN"/>
        </w:rPr>
        <w:t>。</w:t>
      </w:r>
    </w:p>
    <w:p w14:paraId="44A05FB0">
      <w:pPr>
        <w:jc w:val="center"/>
        <w:rPr>
          <w:rFonts w:hint="eastAsia"/>
          <w:b/>
          <w:bCs/>
          <w:sz w:val="24"/>
          <w:szCs w:val="24"/>
          <w:lang w:eastAsia="zh-CN"/>
        </w:rPr>
      </w:pPr>
    </w:p>
    <w:p w14:paraId="54C16EF2">
      <w:pPr>
        <w:jc w:val="center"/>
        <w:rPr>
          <w:rFonts w:hint="default" w:ascii="宋体" w:hAnsi="宋体" w:cs="宋体"/>
          <w:b/>
          <w:bCs/>
          <w:color w:val="000000" w:themeColor="text1"/>
          <w:kern w:val="0"/>
          <w:sz w:val="24"/>
          <w:shd w:val="clear" w:color="auto" w:fill="FFFFFF"/>
          <w:lang w:val="en-US"/>
          <w14:textFill>
            <w14:solidFill>
              <w14:schemeClr w14:val="tx1"/>
            </w14:solidFill>
          </w14:textFill>
        </w:rPr>
      </w:pPr>
      <w:r>
        <w:rPr>
          <w:rFonts w:hint="eastAsia"/>
          <w:b/>
          <w:bCs/>
          <w:sz w:val="24"/>
          <w:szCs w:val="24"/>
          <w:lang w:val="en-US" w:eastAsia="zh-CN"/>
        </w:rPr>
        <w:t>实施方案4</w:t>
      </w:r>
      <w:bookmarkStart w:id="0" w:name="_GoBack"/>
      <w:bookmarkEnd w:id="0"/>
    </w:p>
    <w:p w14:paraId="21B2293B">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4.根据投标人提供的售后阶段的质量保证措施（包括①售后服务机构及人员配置方案；②提供保修期外至全寿命周期内零配件及备品备件供应方案及提供所投产品制造商的售后服务承诺函）进行评审：</w:t>
      </w:r>
    </w:p>
    <w:p w14:paraId="55B17309">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①售后服务机构及人员配置方案：</w:t>
      </w:r>
    </w:p>
    <w:p w14:paraId="4298F1F7">
      <w:pPr>
        <w:widowControl/>
        <w:wordWrap w:val="0"/>
        <w:adjustRightInd w:val="0"/>
        <w:snapToGrid w:val="0"/>
        <w:spacing w:line="360" w:lineRule="auto"/>
        <w:jc w:val="left"/>
        <w:rPr>
          <w:rFonts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有投标人自己的维修服务机构，提供专职售后服务人员（提供专职人员身份证复印件及劳动合同）完全满足本项目需求，且配备的人员具有相关技能证书（提供相关技能证书）的得0-</w:t>
      </w:r>
      <w:r>
        <w:rPr>
          <w:rFonts w:hint="eastAsia" w:ascii="宋体" w:hAnsi="宋体" w:cs="宋体"/>
          <w:color w:val="000000" w:themeColor="text1"/>
          <w:kern w:val="0"/>
          <w:sz w:val="24"/>
          <w:shd w:val="clear" w:color="auto" w:fill="FFFFFF"/>
          <w:lang w:val="en-US" w:eastAsia="zh-CN"/>
          <w14:textFill>
            <w14:solidFill>
              <w14:schemeClr w14:val="tx1"/>
            </w14:solidFill>
          </w14:textFill>
        </w:rPr>
        <w:t>1</w:t>
      </w:r>
      <w:r>
        <w:rPr>
          <w:rFonts w:hint="eastAsia" w:ascii="宋体" w:hAnsi="宋体" w:cs="宋体"/>
          <w:color w:val="000000" w:themeColor="text1"/>
          <w:kern w:val="0"/>
          <w:sz w:val="24"/>
          <w:shd w:val="clear" w:color="auto" w:fill="FFFFFF"/>
          <w14:textFill>
            <w14:solidFill>
              <w14:schemeClr w14:val="tx1"/>
            </w14:solidFill>
          </w14:textFill>
        </w:rPr>
        <w:t>分；</w:t>
      </w:r>
    </w:p>
    <w:p w14:paraId="71FA0FD6">
      <w:pPr>
        <w:widowControl/>
        <w:wordWrap w:val="0"/>
        <w:adjustRightInd w:val="0"/>
        <w:snapToGrid w:val="0"/>
        <w:spacing w:line="360" w:lineRule="auto"/>
        <w:jc w:val="left"/>
        <w:rPr>
          <w:rFonts w:ascii="宋体" w:hAnsi="宋体" w:cs="宋体"/>
          <w:b/>
          <w:bCs/>
          <w:color w:val="000000" w:themeColor="text1"/>
          <w:kern w:val="0"/>
          <w:sz w:val="24"/>
          <w:shd w:val="clear" w:color="auto" w:fill="FFFFFF"/>
          <w14:textFill>
            <w14:solidFill>
              <w14:schemeClr w14:val="tx1"/>
            </w14:solidFill>
          </w14:textFill>
        </w:rPr>
      </w:pPr>
      <w:r>
        <w:rPr>
          <w:rFonts w:hint="eastAsia" w:ascii="宋体" w:hAnsi="宋体" w:cs="宋体"/>
          <w:b/>
          <w:bCs/>
          <w:color w:val="000000" w:themeColor="text1"/>
          <w:kern w:val="0"/>
          <w:sz w:val="24"/>
          <w:shd w:val="clear" w:color="auto" w:fill="FFFFFF"/>
          <w14:textFill>
            <w14:solidFill>
              <w14:schemeClr w14:val="tx1"/>
            </w14:solidFill>
          </w14:textFill>
        </w:rPr>
        <w:t>②提供保修期外至全寿命周期内零配件及备品备件供应方案及提供所投产品制造商的售后服务承诺函：</w:t>
      </w:r>
    </w:p>
    <w:p w14:paraId="5E31102D">
      <w:pPr>
        <w:rPr>
          <w:rFonts w:hint="eastAsia" w:ascii="宋体" w:hAnsi="宋体" w:cs="宋体"/>
          <w:color w:val="000000" w:themeColor="text1"/>
          <w:kern w:val="0"/>
          <w:sz w:val="24"/>
          <w:shd w:val="clear" w:color="auto" w:fill="FFFFFF"/>
          <w14:textFill>
            <w14:solidFill>
              <w14:schemeClr w14:val="tx1"/>
            </w14:solidFill>
          </w14:textFill>
        </w:rPr>
      </w:pPr>
      <w:r>
        <w:rPr>
          <w:rFonts w:hint="eastAsia" w:ascii="宋体" w:hAnsi="宋体" w:cs="宋体"/>
          <w:color w:val="000000" w:themeColor="text1"/>
          <w:kern w:val="0"/>
          <w:sz w:val="24"/>
          <w:shd w:val="clear" w:color="auto" w:fill="FFFFFF"/>
          <w14:textFill>
            <w14:solidFill>
              <w14:schemeClr w14:val="tx1"/>
            </w14:solidFill>
          </w14:textFill>
        </w:rPr>
        <w:t>提供的零配件及备品备件供应方案包括但不限于供应时间、安装更换方式、定价方式（不高于当年市场平均价格，提供不高于市场平均价格的承诺书），方案及承诺详细完善，承诺函科学合理，完全切合本项目实际需求的得0-1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775425"/>
    <w:rsid w:val="26364E84"/>
    <w:rsid w:val="2C1A51FE"/>
    <w:rsid w:val="40A851B4"/>
    <w:rsid w:val="419E5BCC"/>
    <w:rsid w:val="444F3824"/>
    <w:rsid w:val="4C863F0B"/>
    <w:rsid w:val="6094289E"/>
    <w:rsid w:val="63112C63"/>
    <w:rsid w:val="631877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Words>
  <Characters>22</Characters>
  <Lines>0</Lines>
  <Paragraphs>0</Paragraphs>
  <TotalTime>0</TotalTime>
  <ScaleCrop>false</ScaleCrop>
  <LinksUpToDate>false</LinksUpToDate>
  <CharactersWithSpaces>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2025-04-03T10:11:00Z</dcterms:created>
  <dc:creator>A</dc:creator>
  <cp:lastModifiedBy>微信用户</cp:lastModifiedBy>
  <dcterms:modified xsi:type="dcterms:W3CDTF">2025-11-20T04:02:01Z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7711B704848A4F42911106B0FE22DB62_12</vt:lpwstr>
  </property>
</Properties>
</file>