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版本号：ZX2025-10-5120251127002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2025年度医疗设备计量检测服务项目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ZX2025-10-51</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2025年度医疗设备计量检测服务项目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2025年度医疗设备计量检测服务项目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2025年度医疗设备计量检测服务项目，1项，具体内容详见磋商文件第3章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3、计量证书：具备中华人民共和国市场监督管理总局颁发的法定计量检定机构计量授权证书（含陕西省市场监督管理局依法设置或依法授权的法定计量检定机构）,授权范围覆盖陕西全省。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曹婷 蔡丹 马演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采购包1：549,920.00元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采购包1保证金金额：10,510.00元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梁文龙</w:t>
      </w:r>
    </w:p>
    <w:p>
      <w:pPr>
        <w:pStyle w:val="null3"/>
      </w:pPr>
      <w:r>
        <w:rPr>
          <w:rFonts w:ascii="仿宋_GB2312" w:hAnsi="仿宋_GB2312" w:cs="仿宋_GB2312" w:eastAsia="仿宋_GB2312"/>
        </w:rPr>
        <w:t>联系电话：029-88110800转8032（1731831774@qq.com）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2025年度医疗设备计量检测服务项目，1项，具体内容详见磋商文件第3章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549,920.00</w:t>
      </w:r>
    </w:p>
    <w:p>
      <w:pPr>
        <w:pStyle w:val="null3"/>
      </w:pPr>
      <w:r>
        <w:rPr>
          <w:rFonts w:ascii="仿宋_GB2312" w:hAnsi="仿宋_GB2312" w:cs="仿宋_GB2312" w:eastAsia="仿宋_GB2312"/>
        </w:rPr>
        <w:t>采购包最高限价（元）: 549,920.00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2025年度医疗设备计量检测服务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549,920.00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标的名称：2025年度医疗设备计量检测服务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）服务项目</w:t>
            </w:r>
          </w:p>
          <w:p>
            <w:pPr>
              <w:pStyle w:val="null3"/>
              <w:jc w:val="both"/>
            </w:pPr>
            <w:r>
              <w:rPr>
                <w:rFonts w:ascii="仿宋_GB2312" w:hAnsi="仿宋_GB2312" w:cs="仿宋_GB2312" w:eastAsia="仿宋_GB2312"/>
                <w:sz w:val="20"/>
              </w:rPr>
              <w:t>1.强检医用计量器具登记</w:t>
            </w:r>
          </w:p>
          <w:p>
            <w:pPr>
              <w:pStyle w:val="null3"/>
              <w:ind w:firstLine="400"/>
              <w:jc w:val="both"/>
            </w:pPr>
            <w:r>
              <w:rPr>
                <w:rFonts w:ascii="仿宋_GB2312" w:hAnsi="仿宋_GB2312" w:cs="仿宋_GB2312" w:eastAsia="仿宋_GB2312"/>
                <w:sz w:val="20"/>
              </w:rPr>
              <w:t>协助采购人按国家市场监督管理局的要求，完成全院强检医疗设备在中国电子质量监督（</w:t>
            </w:r>
            <w:r>
              <w:rPr>
                <w:rFonts w:ascii="仿宋_GB2312" w:hAnsi="仿宋_GB2312" w:cs="仿宋_GB2312" w:eastAsia="仿宋_GB2312"/>
                <w:sz w:val="20"/>
              </w:rPr>
              <w:t>e-CQS）系统上的登记造册，要求在合同签订后10日内完成。</w:t>
            </w:r>
          </w:p>
          <w:p>
            <w:pPr>
              <w:pStyle w:val="null3"/>
              <w:jc w:val="both"/>
            </w:pPr>
            <w:r>
              <w:rPr>
                <w:rFonts w:ascii="仿宋_GB2312" w:hAnsi="仿宋_GB2312" w:cs="仿宋_GB2312" w:eastAsia="仿宋_GB2312"/>
                <w:sz w:val="20"/>
              </w:rPr>
              <w:t>2.强检设备计量检定</w:t>
            </w:r>
          </w:p>
          <w:p>
            <w:pPr>
              <w:pStyle w:val="null3"/>
              <w:ind w:firstLine="400"/>
              <w:jc w:val="both"/>
            </w:pPr>
            <w:r>
              <w:rPr>
                <w:rFonts w:ascii="仿宋_GB2312" w:hAnsi="仿宋_GB2312" w:cs="仿宋_GB2312" w:eastAsia="仿宋_GB2312"/>
                <w:sz w:val="20"/>
              </w:rPr>
              <w:t>根据强检系统分配情况，协调联系相关检定单位，按年检时限对全院强检医用设备进行计量检定</w:t>
            </w:r>
            <w:r>
              <w:rPr>
                <w:rFonts w:ascii="仿宋_GB2312" w:hAnsi="仿宋_GB2312" w:cs="仿宋_GB2312" w:eastAsia="仿宋_GB2312"/>
                <w:sz w:val="20"/>
              </w:rPr>
              <w:t>, 要求在登记造册后20日内完成。内容清单如下：</w:t>
            </w:r>
          </w:p>
          <w:tbl>
            <w:tblPr>
              <w:tblBorders>
                <w:top w:val="none" w:color="000000" w:sz="4"/>
                <w:left w:val="none" w:color="000000" w:sz="4"/>
                <w:bottom w:val="none" w:color="000000" w:sz="4"/>
                <w:right w:val="none" w:color="000000" w:sz="4"/>
                <w:insideH w:val="none"/>
                <w:insideV w:val="none"/>
              </w:tblBorders>
            </w:tblPr>
            <w:tblGrid>
              <w:gridCol w:w="318"/>
              <w:gridCol w:w="1796"/>
              <w:gridCol w:w="440"/>
            </w:tblGrid>
            <w:tr>
              <w:tc>
                <w:tcPr>
                  <w:tcW w:type="dxa" w:w="318"/>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序号</w:t>
                  </w:r>
                </w:p>
              </w:tc>
              <w:tc>
                <w:tcPr>
                  <w:tcW w:type="dxa" w:w="179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设备名称</w:t>
                  </w:r>
                </w:p>
              </w:tc>
              <w:tc>
                <w:tcPr>
                  <w:tcW w:type="dxa" w:w="440"/>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数量</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脑电图</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心电图</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听力计</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电子血压计</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56</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眼压计</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角膜曲率计</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7</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验光镜片箱</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验光仪</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9</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CT</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10</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DSA</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11</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高频移动式手术</w:t>
                  </w:r>
                  <w:r>
                    <w:rPr>
                      <w:rFonts w:ascii="仿宋_GB2312" w:hAnsi="仿宋_GB2312" w:cs="仿宋_GB2312" w:eastAsia="仿宋_GB2312"/>
                      <w:sz w:val="18"/>
                      <w:color w:val="000000"/>
                    </w:rPr>
                    <w:t>X射线机（小C臂）/中C</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12</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DR</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13</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口腔拍片机</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14</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胃肠机</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15</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压力表</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66</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16</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水银血压计</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70</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17</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多参数监护仪</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588</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18</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动态心电</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r>
            <w:tr>
              <w:tc>
                <w:tcPr>
                  <w:tcW w:type="dxa" w:w="31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19</w:t>
                  </w:r>
                </w:p>
              </w:tc>
              <w:tc>
                <w:tcPr>
                  <w:tcW w:type="dxa" w:w="179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动态血压</w:t>
                  </w:r>
                </w:p>
              </w:tc>
              <w:tc>
                <w:tcPr>
                  <w:tcW w:type="dxa" w:w="4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27</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0"/>
              </w:rPr>
              <w:t>3.非强检设备计量检定/校准</w:t>
            </w:r>
          </w:p>
          <w:p>
            <w:pPr>
              <w:pStyle w:val="null3"/>
              <w:ind w:firstLine="400"/>
              <w:jc w:val="both"/>
            </w:pPr>
            <w:r>
              <w:rPr>
                <w:rFonts w:ascii="仿宋_GB2312" w:hAnsi="仿宋_GB2312" w:cs="仿宋_GB2312" w:eastAsia="仿宋_GB2312"/>
                <w:sz w:val="20"/>
              </w:rPr>
              <w:t>服务方应按时对医院提供的需要计量检定</w:t>
            </w:r>
            <w:r>
              <w:rPr>
                <w:rFonts w:ascii="仿宋_GB2312" w:hAnsi="仿宋_GB2312" w:cs="仿宋_GB2312" w:eastAsia="仿宋_GB2312"/>
                <w:sz w:val="20"/>
              </w:rPr>
              <w:t>/校准的医疗设备按相关规范进行计量检定/校准，要求在完成强检计量器具检定后20天内完成。检定/校准项目台件数如下：</w:t>
            </w:r>
          </w:p>
          <w:tbl>
            <w:tblPr>
              <w:tblInd w:type="dxa" w:w="120"/>
              <w:tblBorders>
                <w:top w:val="none" w:color="000000" w:sz="4"/>
                <w:left w:val="none" w:color="000000" w:sz="4"/>
                <w:bottom w:val="none" w:color="000000" w:sz="4"/>
                <w:right w:val="none" w:color="000000" w:sz="4"/>
                <w:insideH w:val="none"/>
                <w:insideV w:val="none"/>
              </w:tblBorders>
            </w:tblPr>
            <w:tblGrid>
              <w:gridCol w:w="310"/>
              <w:gridCol w:w="995"/>
              <w:gridCol w:w="405"/>
              <w:gridCol w:w="405"/>
              <w:gridCol w:w="436"/>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数量（台）</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单价限价（元）</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小计限价（元）</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核磁</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血液透析机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呼吸机</w:t>
                  </w:r>
                  <w:r>
                    <w:rPr>
                      <w:rFonts w:ascii="仿宋_GB2312" w:hAnsi="仿宋_GB2312" w:cs="仿宋_GB2312" w:eastAsia="仿宋_GB2312"/>
                      <w:sz w:val="18"/>
                      <w:color w:val="000000"/>
                    </w:rPr>
                    <w:t>/麻醉机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37800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除颤仪</w:t>
                  </w:r>
                  <w:r>
                    <w:rPr>
                      <w:rFonts w:ascii="仿宋_GB2312" w:hAnsi="仿宋_GB2312" w:cs="仿宋_GB2312" w:eastAsia="仿宋_GB2312"/>
                      <w:sz w:val="18"/>
                      <w:color w:val="000000"/>
                    </w:rPr>
                    <w:t>(AED)</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多普勒</w:t>
                  </w:r>
                  <w:r>
                    <w:rPr>
                      <w:rFonts w:ascii="仿宋_GB2312" w:hAnsi="仿宋_GB2312" w:cs="仿宋_GB2312" w:eastAsia="仿宋_GB2312"/>
                      <w:sz w:val="18"/>
                      <w:color w:val="000000"/>
                    </w:rPr>
                    <w:t>/胎儿监护仪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高频电刀</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生物安全柜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体重秤</w:t>
                  </w:r>
                  <w:r>
                    <w:rPr>
                      <w:rFonts w:ascii="仿宋_GB2312" w:hAnsi="仿宋_GB2312" w:cs="仿宋_GB2312" w:eastAsia="仿宋_GB2312"/>
                      <w:sz w:val="18"/>
                      <w:color w:val="000000"/>
                    </w:rPr>
                    <w:t>/电子秤</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生化分析仪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医用离心机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27600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血细胞分析仪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暖箱、辐射台</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88830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氧气吸入器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戥称</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超声诊断系统（彩超</w:t>
                  </w:r>
                  <w:r>
                    <w:rPr>
                      <w:rFonts w:ascii="仿宋_GB2312" w:hAnsi="仿宋_GB2312" w:cs="仿宋_GB2312" w:eastAsia="仿宋_GB2312"/>
                      <w:sz w:val="18"/>
                      <w:color w:val="000000"/>
                    </w:rPr>
                    <w:t>/B超）</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医用冷藏箱、血液保存箱、恒温保存箱、冰箱、低温保存箱</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多功能培养箱</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二氧化碳培养箱</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水浴锅</w:t>
                  </w:r>
                  <w:r>
                    <w:rPr>
                      <w:rFonts w:ascii="仿宋_GB2312" w:hAnsi="仿宋_GB2312" w:cs="仿宋_GB2312" w:eastAsia="仿宋_GB2312"/>
                      <w:sz w:val="18"/>
                      <w:color w:val="000000"/>
                    </w:rPr>
                    <w:t>/干燥箱</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灭菌器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输液泵</w:t>
                  </w:r>
                  <w:r>
                    <w:rPr>
                      <w:rFonts w:ascii="仿宋_GB2312" w:hAnsi="仿宋_GB2312" w:cs="仿宋_GB2312" w:eastAsia="仿宋_GB2312"/>
                      <w:sz w:val="18"/>
                      <w:color w:val="000000"/>
                    </w:rPr>
                    <w:t>/注射泵</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121500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生物显微镜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环境监测用</w:t>
                  </w:r>
                  <w:r>
                    <w:rPr>
                      <w:rFonts w:ascii="仿宋_GB2312" w:hAnsi="仿宋_GB2312" w:cs="仿宋_GB2312" w:eastAsia="仿宋_GB2312"/>
                      <w:sz w:val="18"/>
                      <w:color w:val="000000"/>
                    </w:rPr>
                    <w:t>X、Y辐射空气比释动能率剂</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酶标仪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环境温湿度计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6450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电子天平</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纯水机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洁净工作台</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电导率笔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肺功能仪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骨密度仪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游标卡尺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医用激光源</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3200</w:t>
                  </w:r>
                </w:p>
              </w:tc>
            </w:tr>
            <w:tr>
              <w:tc>
                <w:tcPr>
                  <w:tcW w:type="dxa" w:w="21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合计（元）</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549920</w:t>
                  </w:r>
                </w:p>
              </w:tc>
            </w:tr>
          </w:tbl>
          <w:p>
            <w:pPr>
              <w:pStyle w:val="null3"/>
              <w:jc w:val="both"/>
            </w:pPr>
            <w:r>
              <w:rPr>
                <w:rFonts w:ascii="仿宋_GB2312" w:hAnsi="仿宋_GB2312" w:cs="仿宋_GB2312" w:eastAsia="仿宋_GB2312"/>
                <w:sz w:val="20"/>
              </w:rPr>
              <w:t>4.协助采购人建立完整计量管理台账</w:t>
            </w:r>
          </w:p>
          <w:p>
            <w:pPr>
              <w:pStyle w:val="null3"/>
              <w:ind w:firstLine="400"/>
              <w:jc w:val="both"/>
            </w:pPr>
            <w:r>
              <w:rPr>
                <w:rFonts w:ascii="仿宋_GB2312" w:hAnsi="仿宋_GB2312" w:cs="仿宋_GB2312" w:eastAsia="仿宋_GB2312"/>
                <w:sz w:val="20"/>
                <w:color w:val="000000"/>
              </w:rPr>
              <w:t>供应商需依据医院设备实际情况及计量检定结果，分类整理设备信息，包括设备名称、型号、规格、生产厂家、出厂编号、购置日期、使用部门、检定周期、本次检定日期及结果等关键要素。台账应采用电子化备份形式，确保数据安全可追溯。</w:t>
            </w:r>
          </w:p>
          <w:p>
            <w:pPr>
              <w:pStyle w:val="null3"/>
              <w:jc w:val="both"/>
              <w:outlineLvl w:val="1"/>
            </w:pPr>
            <w:r>
              <w:rPr>
                <w:rFonts w:ascii="仿宋_GB2312" w:hAnsi="仿宋_GB2312" w:cs="仿宋_GB2312" w:eastAsia="仿宋_GB2312"/>
                <w:sz w:val="20"/>
                <w:b/>
              </w:rPr>
              <w:t>（二）技术服务要求</w:t>
            </w:r>
          </w:p>
          <w:p>
            <w:pPr>
              <w:pStyle w:val="null3"/>
              <w:jc w:val="both"/>
            </w:pPr>
            <w:r>
              <w:rPr>
                <w:rFonts w:ascii="仿宋_GB2312" w:hAnsi="仿宋_GB2312" w:cs="仿宋_GB2312" w:eastAsia="仿宋_GB2312"/>
                <w:sz w:val="20"/>
              </w:rPr>
              <w:t>1.按照计量法、计量检定规程和计量校准规范开展工作，并提供符合主管部门要求的结果报告。</w:t>
            </w:r>
          </w:p>
          <w:p>
            <w:pPr>
              <w:pStyle w:val="null3"/>
              <w:jc w:val="both"/>
            </w:pPr>
            <w:r>
              <w:rPr>
                <w:rFonts w:ascii="仿宋_GB2312" w:hAnsi="仿宋_GB2312" w:cs="仿宋_GB2312" w:eastAsia="仿宋_GB2312"/>
                <w:sz w:val="20"/>
              </w:rPr>
              <w:t>2.采购方提供现场工作条件，并统筹协调临床科室检测时间。服务方制定技术方案，提供检定、校准仪器设备</w:t>
            </w:r>
            <w:r>
              <w:rPr>
                <w:rFonts w:ascii="仿宋_GB2312" w:hAnsi="仿宋_GB2312" w:cs="仿宋_GB2312" w:eastAsia="仿宋_GB2312"/>
                <w:sz w:val="20"/>
              </w:rPr>
              <w:t>的基标准器，并对所检定、校准的仪器负责。</w:t>
            </w:r>
          </w:p>
          <w:p>
            <w:pPr>
              <w:pStyle w:val="null3"/>
              <w:jc w:val="both"/>
            </w:pPr>
            <w:r>
              <w:rPr>
                <w:rFonts w:ascii="仿宋_GB2312" w:hAnsi="仿宋_GB2312" w:cs="仿宋_GB2312" w:eastAsia="仿宋_GB2312"/>
                <w:sz w:val="20"/>
              </w:rPr>
              <w:t>3.对检测过程中不符合技术规范要求的计量仪器，采购方通过维修后再委托服务方重新检测，服务方不重复收费。</w:t>
            </w:r>
          </w:p>
          <w:p>
            <w:pPr>
              <w:pStyle w:val="null3"/>
              <w:jc w:val="both"/>
            </w:pPr>
            <w:r>
              <w:rPr>
                <w:rFonts w:ascii="仿宋_GB2312" w:hAnsi="仿宋_GB2312" w:cs="仿宋_GB2312" w:eastAsia="仿宋_GB2312"/>
                <w:sz w:val="20"/>
              </w:rPr>
              <w:t>4.对于非强检设备计量检定/校准清单外的台件数，依据分项报价表协商执行。</w:t>
            </w:r>
          </w:p>
          <w:p>
            <w:pPr>
              <w:pStyle w:val="null3"/>
              <w:jc w:val="both"/>
            </w:pPr>
            <w:r>
              <w:rPr>
                <w:rFonts w:ascii="仿宋_GB2312" w:hAnsi="仿宋_GB2312" w:cs="仿宋_GB2312" w:eastAsia="仿宋_GB2312"/>
                <w:sz w:val="20"/>
              </w:rPr>
              <w:t>5.本采购项目包含三项服务内容，任何一项服务未达到目标要求，均视为供应商违约。</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质量要求</w:t>
            </w:r>
          </w:p>
          <w:p>
            <w:pPr>
              <w:pStyle w:val="null3"/>
            </w:pPr>
            <w:r>
              <w:rPr>
                <w:rFonts w:ascii="仿宋_GB2312" w:hAnsi="仿宋_GB2312" w:cs="仿宋_GB2312" w:eastAsia="仿宋_GB2312"/>
                <w:sz w:val="20"/>
              </w:rPr>
              <w:t>检定</w:t>
            </w:r>
            <w:r>
              <w:rPr>
                <w:rFonts w:ascii="仿宋_GB2312" w:hAnsi="仿宋_GB2312" w:cs="仿宋_GB2312" w:eastAsia="仿宋_GB2312"/>
                <w:sz w:val="20"/>
              </w:rPr>
              <w:t>/校准工作和服务质量应满足实验室质量体系文件的要求，设备计量检测对应国家计量技术规程规范中的要求。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无正当理由拒签合同的，或在接到成交通知书规定的时间内，借故拖延、拒签合同者，采购人取消其中标资格，其投标保证金不予退还；给采购人造成的损失超过投标保证金数额的，供应商还应对超过部分予以赔偿。同时报请政府采购监督机构通报全省，取消其进入政府采购市场的资格，并按规定予以处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1.强检医用计量器具登记：协助采购方按国家市场监督管理局的要求，完成全院强检医疗设备在中国电子质量监督（e-CQS）系统上的登记造册，要求在合同签订后10日内完成。 2.强检设备计量检定：根据强检系统分配情况，协调联系相关检定单位，按年检时限对全院强检医用设备进行计量检定, 要求在登记造册后20日内完成。 3.非强检设备计量检定/校准：服务方应按时对医院提供的需要计量检定/校准的医疗设备按相关规范进行计量检定/校准，要求在完成强检计量器具检定后20天内完成。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 （2）符合国家有关技术规范和标准。所有运输、验收的手续及费用由供应商自行办理和承担，采购人提供相关辅助。</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本年度设备计量检定/校准结束后，供应商应在30日内提供所有设备的计量检定/校准证书，经采购人确认后，供应商开具符合税法规定的全额增值税发票，采购人在30日内付全款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维保服务产品或配件质量不能满足技术要求，采购方有权单方解除合同，采购方请第三方重新维保或更换配件的费用由成交供应商承担且成交供应商应向采购方支付合同总金额20%的违约金。（三）如有纠纷，双方友好协商解决，协商不成时可诉讼到采购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2、顺利推进政府采购电子化交易平台应用工作，供应商需要在线提交所有通过电子化交易平台实施的政府采购项目的响应文件，同时，线下提交纸质响应文件正本壹份、副本贰份。 纸质响应文件正、副本分别胶装，标明供应商名称密封递交，递交截止时间同在线递交响应电子文件截止时间一致，递交地址：西安市莲湖区环城西路南段元晟合中心6层。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有效的2024年度审计报告（审计报告必须能在注册会计师行业统一监管平台http://acc.mof.gov.cn可查验）（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计量证书</w:t>
            </w:r>
          </w:p>
        </w:tc>
        <w:tc>
          <w:tcPr>
            <w:tcW w:type="dxa" w:w="3322"/>
          </w:tcPr>
          <w:p>
            <w:pPr>
              <w:pStyle w:val="null3"/>
            </w:pPr>
            <w:r>
              <w:rPr>
                <w:rFonts w:ascii="仿宋_GB2312" w:hAnsi="仿宋_GB2312" w:cs="仿宋_GB2312" w:eastAsia="仿宋_GB2312"/>
              </w:rPr>
              <w:t>具备中华人民共和国市场监督管理总局颁发的法定计量检定机构计量授权证书（含陕西省市场监督管理局依法设置或依法授权的法定计量检定机构）,授权范围覆盖陕西全省。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(1)磋商响应文件未按照磋商文件规定要求签署、盖章的；(2)不满足本磋商文件中“服务期限、服务地点、支付方式、支付约定”的实质性条款要求的； (3)文件有效期不足的或无有效期的； (4)报价超过磋商文件中规定的预算金额或最高限价或单价限价的；(5)法律、法规和磋商文件规定的其他无效情形。</w:t>
            </w:r>
          </w:p>
        </w:tc>
        <w:tc>
          <w:tcPr>
            <w:tcW w:type="dxa" w:w="1661"/>
          </w:tcPr>
          <w:p>
            <w:pPr>
              <w:pStyle w:val="null3"/>
            </w:pPr>
            <w:r>
              <w:rPr>
                <w:rFonts w:ascii="仿宋_GB2312" w:hAnsi="仿宋_GB2312" w:cs="仿宋_GB2312" w:eastAsia="仿宋_GB2312"/>
              </w:rPr>
              <w:t>响应文件封面 13其他资料.docx 中小企业声明函 残疾人福利性单位声明函 商务部分偏离表.docx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供应商串通投标</w:t>
            </w:r>
          </w:p>
        </w:tc>
        <w:tc>
          <w:tcPr>
            <w:tcW w:type="dxa" w:w="3322"/>
          </w:tcPr>
          <w:p>
            <w:pPr>
              <w:pStyle w:val="null3"/>
            </w:pPr>
            <w:r>
              <w:rPr>
                <w:rFonts w:ascii="仿宋_GB2312" w:hAnsi="仿宋_GB2312" w:cs="仿宋_GB2312" w:eastAsia="仿宋_GB2312"/>
              </w:rPr>
              <w:t>（1）不同供应商的响应文件由同一单位或者个人编制； （2）不同供应商委托同一单位或者个人办理响应事宜； （3）不同供应商的响应文件载明的项目管理成员或者联系人员为同一人； （4）不同供应商的响应文件异常一致或者磋商报价呈规律性差异； （5）不同供应商的响应文件相互混装； （6）不同供应商的投标保证金从同一单位或者个人的账户转出。</w:t>
            </w:r>
          </w:p>
        </w:tc>
        <w:tc>
          <w:tcPr>
            <w:tcW w:type="dxa" w:w="1661"/>
          </w:tcPr>
          <w:p>
            <w:pPr>
              <w:pStyle w:val="null3"/>
            </w:pPr>
            <w:r>
              <w:rPr>
                <w:rFonts w:ascii="仿宋_GB2312" w:hAnsi="仿宋_GB2312" w:cs="仿宋_GB2312" w:eastAsia="仿宋_GB2312"/>
              </w:rPr>
              <w:t>响应文件封面 13其他资料.docx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供应商提供针对本项目的整体服务方案，包含但不限于：①需求理解；②保障措施；③组织措施等。 方案内容全面详细、阐述条理清晰详尽、符合本项目采购需求，能有效保障本项目实施。 1、完全满足采购需求，无瑕疵：12分； 2、方案内容存在1处瑕疵：10分； 3、方案内容存在2处瑕疵：8分； 4、方案内容存在3处瑕疵：6分； 5、方案内容存在4处瑕疵：4分； 6、方案内容存在5处瑕疵：2分； 7、未提供或内容存在6处及以上瑕疵：0分。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1.整体服务方案.docx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实施方案。方案包括但不限于：①强检医用计量器具登记；②强检医用设备计量检定；③非强检医用设备计量检定/校准；④协助采购人建立完整计量管理台账。方案各项内容全面详细、阐述条理清晰详尽、符合本项目采购需求。 1、完全满足采购需求，无瑕疵：12分； 2、方案内容存在1处瑕疵：10分； 3、方案内容存在2处瑕疵：8分； 4、方案内容存在3处瑕疵：6分； 5、方案内容存在4处瑕疵：4分； 6、方案内容存在5处瑕疵：2分； 7、未提供或内容存在6处及以上瑕疵：0分。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供应商提供针对本项目的质量保证方案，方案包括但不限于：①检测质量保证目标；②检测质量保证措施；③检测质量控制体系。 方案各项内容全面详细、阐述条理清晰详尽、符合本项目采购需求、配置合理，能有效保障本项目实施。 1、完全满足采购需求，无瑕疵：10分； 2、内容存在1处瑕疵：9分； 3、内容存在2处瑕疵：8分； 4、内容存在3处瑕疵：7分； 5、内容存在4处瑕疵：6分； 6、内容存在5处瑕疵：5分； 7、内容存在6处瑕疵：4分； 8、内容存在7处瑕疵：3分； 9、内容存在8处瑕疵：2分； 10、内容存在9处瑕疵：1分；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3质量保障方案.docx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方案，方案包括但不限于：①进度计划；②分工安排；③进度保障等工作部署。方案各项内容全面详细、阐述条理清晰详尽、符合本项目采购需求、配置合理，能有效保障本项目实施。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4进度计划.docx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供应商针对突发事件，有具体可行的应急措施和解决方案，保证出现突发事情时及时采取有效的应对措施。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5应急方案.docx</w:t>
            </w:r>
          </w:p>
        </w:tc>
      </w:tr>
      <w:tr>
        <w:tc>
          <w:tcPr>
            <w:tcW w:type="dxa" w:w="831"/>
            <w:vMerge/>
          </w:tcPr>
          <w:p/>
        </w:tc>
        <w:tc>
          <w:tcPr>
            <w:tcW w:type="dxa" w:w="1661"/>
          </w:tcPr>
          <w:p>
            <w:pPr>
              <w:pStyle w:val="null3"/>
            </w:pPr>
            <w:r>
              <w:rPr>
                <w:rFonts w:ascii="仿宋_GB2312" w:hAnsi="仿宋_GB2312" w:cs="仿宋_GB2312" w:eastAsia="仿宋_GB2312"/>
              </w:rPr>
              <w:t>团队人员及组织架构</w:t>
            </w:r>
          </w:p>
        </w:tc>
        <w:tc>
          <w:tcPr>
            <w:tcW w:type="dxa" w:w="2492"/>
          </w:tcPr>
          <w:p>
            <w:pPr>
              <w:pStyle w:val="null3"/>
            </w:pPr>
            <w:r>
              <w:rPr>
                <w:rFonts w:ascii="仿宋_GB2312" w:hAnsi="仿宋_GB2312" w:cs="仿宋_GB2312" w:eastAsia="仿宋_GB2312"/>
              </w:rPr>
              <w:t>供应商提供针对本项目的人员配置方案，包含但不限于：①组织架构；②工作职责；③管理制度;④拟派人员的学历、职称、资格证书及相关技术能力和经验的证明材料等。方案内容全面详细、阐述清晰，能有效保障本项目实施。 1、完全满足采购需求，无瑕疵：10分； 2、内容存在1处瑕疵：9分； 3、内容存在2处瑕疵：8分； 4、内容存在3处瑕疵：7分； 5、内容存在4处瑕疵：6分； 6、内容存在5处瑕疵：5分； 7、内容存在6处瑕疵：4分； 8、内容存在7处瑕疵：3分； 9、内容存在8处瑕疵：2分； 10、内容存在9处瑕疵：1分；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6团队人员及组织架构.docx</w:t>
            </w:r>
          </w:p>
        </w:tc>
      </w:tr>
      <w:tr>
        <w:tc>
          <w:tcPr>
            <w:tcW w:type="dxa" w:w="831"/>
            <w:vMerge/>
          </w:tcPr>
          <w:p/>
        </w:tc>
        <w:tc>
          <w:tcPr>
            <w:tcW w:type="dxa" w:w="1661"/>
          </w:tcPr>
          <w:p>
            <w:pPr>
              <w:pStyle w:val="null3"/>
            </w:pPr>
            <w:r>
              <w:rPr>
                <w:rFonts w:ascii="仿宋_GB2312" w:hAnsi="仿宋_GB2312" w:cs="仿宋_GB2312" w:eastAsia="仿宋_GB2312"/>
              </w:rPr>
              <w:t>拟投入检测设备</w:t>
            </w:r>
          </w:p>
        </w:tc>
        <w:tc>
          <w:tcPr>
            <w:tcW w:type="dxa" w:w="2492"/>
          </w:tcPr>
          <w:p>
            <w:pPr>
              <w:pStyle w:val="null3"/>
            </w:pPr>
            <w:r>
              <w:rPr>
                <w:rFonts w:ascii="仿宋_GB2312" w:hAnsi="仿宋_GB2312" w:cs="仿宋_GB2312" w:eastAsia="仿宋_GB2312"/>
              </w:rPr>
              <w:t>提供满足项目实施需求的检测设备。 拟投入设备数量充足，专业性强，能够保证项目顺利完成。 1、完全满足采购需求，无瑕疵：6分； 2、方案内容存在1处瑕疵：5分； 3、方案内容存在2处瑕疵：4分； 4、方案内容存在3处瑕疵：3分； 5、方案内容存在4处瑕疵：2分； 6、方案内容存在5处瑕疵：1分； 7、未提供方案或容存在6处及以上瑕疵：0分。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7拟投入检测设备.docx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针对本次项目实施过程中的重点、难点分析。重点、难点分析清晰合理，重点把控准确，难点解决思路明确，解决计划可行性强。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8重难点分析.docx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除采购人要求的服务外，供应商还能够提供其他实质性增值服务。 1、方案完全满足项目需求，无瑕疵：3分； 2、方案存在1处瑕疵：2分； 3、方案存在2处瑕疵：1分； 4、未提供方案或容存在3处及以上瑕疵：0分。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提供供应商2022年1月1日至今同类项目业绩合同（以中标通知书或合同为准，时间以合同签订日期为准。），每份计1分，满分5分。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伴随服务</w:t>
            </w:r>
          </w:p>
        </w:tc>
        <w:tc>
          <w:tcPr>
            <w:tcW w:type="dxa" w:w="2492"/>
          </w:tcPr>
          <w:p>
            <w:pPr>
              <w:pStyle w:val="null3"/>
            </w:pPr>
            <w:r>
              <w:rPr>
                <w:rFonts w:ascii="仿宋_GB2312" w:hAnsi="仿宋_GB2312" w:cs="仿宋_GB2312" w:eastAsia="仿宋_GB2312"/>
              </w:rPr>
              <w:t>供应商针对本项目有明确的后期伴随服务措施以及出现问题的解决及响应时间、服务方式等。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11伴随服务.docx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针对本项目提供的其他合理化建议及意见（如有助于采购人降低成本、减少消耗、提高效率）等方面提供明确的服务承诺。 1、方案完全满足项目需求，无瑕疵计2分； 2、方案存在1处瑕疵计1分； 3、方案存在2处及以上瑕疵或未提供方案计0分。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详见附件：1.整体服务方案.docx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详见附件：3质量保障方案.docx</w:t>
      </w:r>
    </w:p>
    <w:p>
      <w:pPr>
        <w:pStyle w:val="null3"/>
        <w:ind w:firstLine="960"/>
      </w:pPr>
      <w:r>
        <w:rPr>
          <w:rFonts w:ascii="仿宋_GB2312" w:hAnsi="仿宋_GB2312" w:cs="仿宋_GB2312" w:eastAsia="仿宋_GB2312"/>
        </w:rPr>
        <w:t>详见附件：4进度计划.docx</w:t>
      </w:r>
    </w:p>
    <w:p>
      <w:pPr>
        <w:pStyle w:val="null3"/>
        <w:ind w:firstLine="960"/>
      </w:pPr>
      <w:r>
        <w:rPr>
          <w:rFonts w:ascii="仿宋_GB2312" w:hAnsi="仿宋_GB2312" w:cs="仿宋_GB2312" w:eastAsia="仿宋_GB2312"/>
        </w:rPr>
        <w:t>详见附件：5应急方案.docx</w:t>
      </w:r>
    </w:p>
    <w:p>
      <w:pPr>
        <w:pStyle w:val="null3"/>
        <w:ind w:firstLine="960"/>
      </w:pPr>
      <w:r>
        <w:rPr>
          <w:rFonts w:ascii="仿宋_GB2312" w:hAnsi="仿宋_GB2312" w:cs="仿宋_GB2312" w:eastAsia="仿宋_GB2312"/>
        </w:rPr>
        <w:t>详见附件：6团队人员及组织架构.docx</w:t>
      </w:r>
    </w:p>
    <w:p>
      <w:pPr>
        <w:pStyle w:val="null3"/>
        <w:ind w:firstLine="960"/>
      </w:pPr>
      <w:r>
        <w:rPr>
          <w:rFonts w:ascii="仿宋_GB2312" w:hAnsi="仿宋_GB2312" w:cs="仿宋_GB2312" w:eastAsia="仿宋_GB2312"/>
        </w:rPr>
        <w:t>详见附件：7拟投入检测设备.docx</w:t>
      </w:r>
    </w:p>
    <w:p>
      <w:pPr>
        <w:pStyle w:val="null3"/>
        <w:ind w:firstLine="960"/>
      </w:pPr>
      <w:r>
        <w:rPr>
          <w:rFonts w:ascii="仿宋_GB2312" w:hAnsi="仿宋_GB2312" w:cs="仿宋_GB2312" w:eastAsia="仿宋_GB2312"/>
        </w:rPr>
        <w:t>详见附件：8重难点分析.docx</w:t>
      </w:r>
    </w:p>
    <w:p>
      <w:pPr>
        <w:pStyle w:val="null3"/>
        <w:ind w:firstLine="960"/>
      </w:pPr>
      <w:r>
        <w:rPr>
          <w:rFonts w:ascii="仿宋_GB2312" w:hAnsi="仿宋_GB2312" w:cs="仿宋_GB2312" w:eastAsia="仿宋_GB2312"/>
        </w:rPr>
        <w:t>详见附件：9增值服务.docx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详见附件：11伴随服务.docx</w:t>
      </w:r>
    </w:p>
    <w:p>
      <w:pPr>
        <w:pStyle w:val="null3"/>
        <w:ind w:firstLine="960"/>
      </w:pPr>
      <w:r>
        <w:rPr>
          <w:rFonts w:ascii="仿宋_GB2312" w:hAnsi="仿宋_GB2312" w:cs="仿宋_GB2312" w:eastAsia="仿宋_GB2312"/>
        </w:rPr>
        <w:t>详见附件：12合理化建议.docx</w:t>
      </w:r>
    </w:p>
    <w:p>
      <w:pPr>
        <w:pStyle w:val="null3"/>
        <w:ind w:firstLine="960"/>
      </w:pPr>
      <w:r>
        <w:rPr>
          <w:rFonts w:ascii="仿宋_GB2312" w:hAnsi="仿宋_GB2312" w:cs="仿宋_GB2312" w:eastAsia="仿宋_GB2312"/>
        </w:rPr>
        <w:t>详见附件：13其他资料.docx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