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版本号：HXGJXM2025-ZC-GK105120251120001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分子层沉积设备采购项目(二次)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HXGJXM2025-ZC-GK1051</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分子层沉积设备采购项目(二次)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HXGJXM2025-ZC-GK1051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分子层沉积设备采购项目(二次)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用于粉末和极片样品表面包覆金属-有机化合物涂层的分子层沉积系统；主要功能或目标：通过粉末样品动态设计，实现粉体的均匀包覆，保证工艺重复性；腔体同时适用于粉末和极片沉积；需满足的要求：可实现单次最大100克样品的均匀沉积，腔体易于维护和清洗；具有高温全自动自清洁阀组；多道安全控制；耐腐蚀真空腔体。</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采购包1（分子层沉积设备采购项目）：属于专门面向中小企业采购。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投标截止日前一年内在本单位已缴存的至少一个月的社会保险参保缴费证明)，法定代表人直接参加投标，须提供法定代表人身份证明。</w:t>
      </w:r>
    </w:p>
    <w:p>
      <w:pPr>
        <w:pStyle w:val="null3"/>
      </w:pPr>
      <w:r>
        <w:rPr>
          <w:rFonts w:ascii="仿宋_GB2312" w:hAnsi="仿宋_GB2312" w:cs="仿宋_GB2312" w:eastAsia="仿宋_GB2312"/>
        </w:rPr>
        <w:t>2、信用记录：截止至响应文件递交截止时间之前，供应商未被列入“信用中国 ”网站（www.creditchina.gov.cn）失信被执行人、经营（活动）异常名录及重大税收违法失信主体；未被列入“中国政府采购网(www.ccgp.gov.cn)” 政府采购严重违法失信行为记录名单。（供应商可不提供，以代理机构查询结果为准）</w:t>
      </w:r>
    </w:p>
    <w:p>
      <w:pPr>
        <w:pStyle w:val="null3"/>
      </w:pPr>
      <w:r>
        <w:rPr>
          <w:rFonts w:ascii="仿宋_GB2312" w:hAnsi="仿宋_GB2312" w:cs="仿宋_GB2312" w:eastAsia="仿宋_GB2312"/>
        </w:rPr>
        <w:t>3、投标保证金：投标保证金缴纳凭证或担保机构出具的保函。</w:t>
      </w:r>
    </w:p>
    <w:p>
      <w:pPr>
        <w:pStyle w:val="null3"/>
      </w:pPr>
      <w:r>
        <w:rPr>
          <w:rFonts w:ascii="仿宋_GB2312" w:hAnsi="仿宋_GB2312" w:cs="仿宋_GB2312" w:eastAsia="仿宋_GB2312"/>
        </w:rPr>
        <w:t>4、非联合体：本项目不允许联合体投标。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西安理工大学经办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029-61125884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陕西省西安市莲湖区二环南路西段202号1幢1单元1605室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柴彩珍、张宝育、康敏茹、张艳萍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采购包1：983,000.00元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开户名称：华夏国际项目管理（西安）有限公司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代理服务费收费标准：采购预算在80万元（含）以上400万元（不含）以下，参照《招标代理服务收费暂行办法》（计价格[2002]1980号）文件规定收费标准下浮20%向中标人收取。 银行户名：华夏国际项目管理（西安）有限公司 开户银行：中国工商银行股份有限公司西安城南科技支行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西安理工大学</w:t>
      </w:r>
      <w:r>
        <w:rPr>
          <w:rFonts w:ascii="仿宋_GB2312" w:hAnsi="仿宋_GB2312" w:cs="仿宋_GB2312" w:eastAsia="仿宋_GB2312"/>
        </w:rPr>
        <w:t>负责解释。除上述招标文件内容，其他内容由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使用单位组成验收小组，验收小组对供应商提供的货物的品牌、名称、型号、配置、规格、外观、产地、生产厂商、技术性能、数量、服务承诺及结果等，对照政府采购合同、供应商投标（响应）文件等逐项进行现场检验、核对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联系人：柴彩珍、张宝育、康敏茹、张艳萍</w:t>
      </w:r>
    </w:p>
    <w:p>
      <w:pPr>
        <w:pStyle w:val="null3"/>
      </w:pPr>
      <w:r>
        <w:rPr>
          <w:rFonts w:ascii="仿宋_GB2312" w:hAnsi="仿宋_GB2312" w:cs="仿宋_GB2312" w:eastAsia="仿宋_GB2312"/>
        </w:rPr>
        <w:t>联系电话：029-88899970-808</w:t>
      </w:r>
    </w:p>
    <w:p>
      <w:pPr>
        <w:pStyle w:val="null3"/>
      </w:pPr>
      <w:r>
        <w:rPr>
          <w:rFonts w:ascii="仿宋_GB2312" w:hAnsi="仿宋_GB2312" w:cs="仿宋_GB2312" w:eastAsia="仿宋_GB2312"/>
        </w:rPr>
        <w:t>地址：西安市莲湖区二环南路西段202号九座花园16楼1605</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用于粉末和极片样品表面包覆金属-有机化合物涂层的分子层沉积系统；主要功能或目标：通过粉末样品动态设计，实现粉体的均匀包覆，保证工艺重复性；腔体同时适用于粉末和极片沉积；需满足的要求：可实现单次最大100克样品的均匀沉积，腔体易于维护和清洗；具有高温全自动自清洁阀组；多道安全控制；耐腐蚀真空腔体。</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983,000.00</w:t>
      </w:r>
    </w:p>
    <w:p>
      <w:pPr>
        <w:pStyle w:val="null3"/>
      </w:pPr>
      <w:r>
        <w:rPr>
          <w:rFonts w:ascii="仿宋_GB2312" w:hAnsi="仿宋_GB2312" w:cs="仿宋_GB2312" w:eastAsia="仿宋_GB2312"/>
        </w:rPr>
        <w:t>采购包最高限价（元）: 983,000.00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分子层沉积设备采购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标的名称：分子层沉积设备采购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基础</w:t>
            </w:r>
            <w:r>
              <w:rPr>
                <w:rFonts w:ascii="仿宋_GB2312" w:hAnsi="仿宋_GB2312" w:cs="仿宋_GB2312" w:eastAsia="仿宋_GB2312"/>
                <w:sz w:val="21"/>
                <w:color w:val="000000"/>
              </w:rPr>
              <w:t>功能：</w:t>
            </w:r>
            <w:r>
              <w:rPr>
                <w:rFonts w:ascii="仿宋_GB2312" w:hAnsi="仿宋_GB2312" w:cs="仿宋_GB2312" w:eastAsia="仿宋_GB2312"/>
                <w:sz w:val="21"/>
                <w:color w:val="000000"/>
              </w:rPr>
              <w:t>可在粉末样品上</w:t>
            </w:r>
            <w:r>
              <w:rPr>
                <w:rFonts w:ascii="仿宋_GB2312" w:hAnsi="仿宋_GB2312" w:cs="仿宋_GB2312" w:eastAsia="仿宋_GB2312"/>
                <w:sz w:val="21"/>
                <w:color w:val="000000"/>
              </w:rPr>
              <w:t>沉积原子层级厚度的薄膜，精确控制单次循环的沉积厚度在</w:t>
            </w:r>
            <w:r>
              <w:rPr>
                <w:rFonts w:ascii="仿宋_GB2312" w:hAnsi="仿宋_GB2312" w:cs="仿宋_GB2312" w:eastAsia="仿宋_GB2312"/>
                <w:sz w:val="21"/>
                <w:color w:val="000000"/>
              </w:rPr>
              <w:t>0</w:t>
            </w:r>
            <w:r>
              <w:rPr>
                <w:rFonts w:ascii="仿宋_GB2312" w:hAnsi="仿宋_GB2312" w:cs="仿宋_GB2312" w:eastAsia="仿宋_GB2312"/>
                <w:sz w:val="21"/>
                <w:color w:val="000000"/>
              </w:rPr>
              <w:t xml:space="preserve">.05~0.15 </w:t>
            </w:r>
            <w:r>
              <w:rPr>
                <w:rFonts w:ascii="仿宋_GB2312" w:hAnsi="仿宋_GB2312" w:cs="仿宋_GB2312" w:eastAsia="仿宋_GB2312"/>
                <w:sz w:val="21"/>
                <w:color w:val="000000"/>
              </w:rPr>
              <w:t>nm</w:t>
            </w:r>
            <w:r>
              <w:rPr>
                <w:rFonts w:ascii="仿宋_GB2312" w:hAnsi="仿宋_GB2312" w:cs="仿宋_GB2312" w:eastAsia="仿宋_GB2312"/>
                <w:sz w:val="21"/>
                <w:color w:val="000000"/>
              </w:rPr>
              <w:t>，实现粉体材料表面涂层的构筑；</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腔体：采用</w:t>
            </w:r>
            <w:r>
              <w:rPr>
                <w:rFonts w:ascii="仿宋_GB2312" w:hAnsi="仿宋_GB2312" w:cs="仿宋_GB2312" w:eastAsia="仿宋_GB2312"/>
                <w:sz w:val="21"/>
                <w:color w:val="000000"/>
              </w:rPr>
              <w:t>SUS304</w:t>
            </w:r>
            <w:r>
              <w:rPr>
                <w:rFonts w:ascii="仿宋_GB2312" w:hAnsi="仿宋_GB2312" w:cs="仿宋_GB2312" w:eastAsia="仿宋_GB2312"/>
                <w:sz w:val="21"/>
                <w:color w:val="000000"/>
              </w:rPr>
              <w:t>不锈钢材质，采用内外腔结构设计，配合轴进气模式，完全使前驱体气体不与空气接触；</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加热器：全对称加热器，加热温度</w:t>
            </w:r>
            <w:r>
              <w:rPr>
                <w:rFonts w:ascii="仿宋_GB2312" w:hAnsi="仿宋_GB2312" w:cs="仿宋_GB2312" w:eastAsia="仿宋_GB2312"/>
                <w:sz w:val="21"/>
                <w:color w:val="000000"/>
              </w:rPr>
              <w:t>≥</w:t>
            </w:r>
            <w:r>
              <w:rPr>
                <w:rFonts w:ascii="仿宋_GB2312" w:hAnsi="仿宋_GB2312" w:cs="仿宋_GB2312" w:eastAsia="仿宋_GB2312"/>
                <w:sz w:val="21"/>
                <w:color w:val="000000"/>
              </w:rPr>
              <w:t>300</w:t>
            </w:r>
            <w:r>
              <w:rPr>
                <w:rFonts w:ascii="仿宋_GB2312" w:hAnsi="仿宋_GB2312" w:cs="仿宋_GB2312" w:eastAsia="仿宋_GB2312"/>
                <w:sz w:val="21"/>
                <w:color w:val="000000"/>
              </w:rPr>
              <w:t>℃，温度均一性</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沉积量：单批次可运行</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g</w:t>
            </w:r>
            <w:r>
              <w:rPr>
                <w:rFonts w:ascii="仿宋_GB2312" w:hAnsi="仿宋_GB2312" w:cs="仿宋_GB2312" w:eastAsia="仿宋_GB2312"/>
                <w:sz w:val="21"/>
                <w:color w:val="000000"/>
              </w:rPr>
              <w:t>电池粉末材料，并可实现小批量（</w:t>
            </w:r>
            <w:r>
              <w:rPr>
                <w:rFonts w:ascii="仿宋_GB2312" w:hAnsi="仿宋_GB2312" w:cs="仿宋_GB2312" w:eastAsia="仿宋_GB2312"/>
                <w:sz w:val="21"/>
                <w:color w:val="000000"/>
              </w:rPr>
              <w:t>10-20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g</w:t>
            </w:r>
            <w:r>
              <w:rPr>
                <w:rFonts w:ascii="仿宋_GB2312" w:hAnsi="仿宋_GB2312" w:cs="仿宋_GB2312" w:eastAsia="仿宋_GB2312"/>
                <w:sz w:val="21"/>
                <w:color w:val="000000"/>
              </w:rPr>
              <w:t>）沉积，衬底为钴酸锂粉末包覆</w:t>
            </w:r>
            <w:r>
              <w:rPr>
                <w:rFonts w:ascii="仿宋_GB2312" w:hAnsi="仿宋_GB2312" w:cs="仿宋_GB2312" w:eastAsia="仿宋_GB2312"/>
                <w:sz w:val="21"/>
                <w:color w:val="000000"/>
              </w:rPr>
              <w:t>20</w:t>
            </w:r>
            <w:r>
              <w:rPr>
                <w:rFonts w:ascii="仿宋_GB2312" w:hAnsi="仿宋_GB2312" w:cs="仿宋_GB2312" w:eastAsia="仿宋_GB2312"/>
                <w:sz w:val="21"/>
                <w:color w:val="000000"/>
              </w:rPr>
              <w:t>个循环的氧化铝薄膜，氧化铝薄膜不均匀性优于</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样品桶：</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个，样品桶具有旋转功能，转速</w:t>
            </w:r>
            <w:r>
              <w:rPr>
                <w:rFonts w:ascii="仿宋_GB2312" w:hAnsi="仿宋_GB2312" w:cs="仿宋_GB2312" w:eastAsia="仿宋_GB2312"/>
                <w:sz w:val="21"/>
                <w:color w:val="000000"/>
              </w:rPr>
              <w:t>0~60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RPM</w:t>
            </w:r>
            <w:r>
              <w:rPr>
                <w:rFonts w:ascii="仿宋_GB2312" w:hAnsi="仿宋_GB2312" w:cs="仿宋_GB2312" w:eastAsia="仿宋_GB2312"/>
                <w:sz w:val="21"/>
                <w:color w:val="000000"/>
              </w:rPr>
              <w:t>可调；</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color w:val="000000"/>
              </w:rPr>
              <w:t>真空泵：配备真空油泵：抽速</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/h</w:t>
            </w:r>
            <w:r>
              <w:rPr>
                <w:rFonts w:ascii="仿宋_GB2312" w:hAnsi="仿宋_GB2312" w:cs="仿宋_GB2312" w:eastAsia="仿宋_GB2312"/>
                <w:sz w:val="21"/>
                <w:color w:val="000000"/>
              </w:rPr>
              <w:t>，极限真空压力≤</w:t>
            </w:r>
            <w:r>
              <w:rPr>
                <w:rFonts w:ascii="仿宋_GB2312" w:hAnsi="仿宋_GB2312" w:cs="仿宋_GB2312" w:eastAsia="仿宋_GB2312"/>
                <w:sz w:val="21"/>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mTorr</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真空计：内外腔体包括</w:t>
            </w:r>
            <w:r>
              <w:rPr>
                <w:rFonts w:ascii="仿宋_GB2312" w:hAnsi="仿宋_GB2312" w:cs="仿宋_GB2312" w:eastAsia="仿宋_GB2312"/>
                <w:sz w:val="21"/>
                <w:color w:val="000000"/>
              </w:rPr>
              <w:t>100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Torr</w:t>
            </w:r>
            <w:r>
              <w:rPr>
                <w:rFonts w:ascii="仿宋_GB2312" w:hAnsi="仿宋_GB2312" w:cs="仿宋_GB2312" w:eastAsia="仿宋_GB2312"/>
                <w:sz w:val="21"/>
                <w:color w:val="000000"/>
              </w:rPr>
              <w:t>薄膜规</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r>
              <w:rPr>
                <w:rFonts w:ascii="仿宋_GB2312" w:hAnsi="仿宋_GB2312" w:cs="仿宋_GB2312" w:eastAsia="仿宋_GB2312"/>
                <w:sz w:val="21"/>
                <w:color w:val="000000"/>
              </w:rPr>
              <w:t>1000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Torr</w:t>
            </w:r>
            <w:r>
              <w:rPr>
                <w:rFonts w:ascii="仿宋_GB2312" w:hAnsi="仿宋_GB2312" w:cs="仿宋_GB2312" w:eastAsia="仿宋_GB2312"/>
                <w:sz w:val="21"/>
                <w:color w:val="000000"/>
              </w:rPr>
              <w:t>薄膜规</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套，实时显示内外腔体工艺压力；</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阀组：设备包括多组毫秒级</w:t>
            </w:r>
            <w:r>
              <w:rPr>
                <w:rFonts w:ascii="仿宋_GB2312" w:hAnsi="仿宋_GB2312" w:cs="仿宋_GB2312" w:eastAsia="仿宋_GB2312"/>
                <w:sz w:val="21"/>
                <w:color w:val="000000"/>
              </w:rPr>
              <w:t>ALD</w:t>
            </w:r>
            <w:r>
              <w:rPr>
                <w:rFonts w:ascii="仿宋_GB2312" w:hAnsi="仿宋_GB2312" w:cs="仿宋_GB2312" w:eastAsia="仿宋_GB2312"/>
                <w:sz w:val="21"/>
                <w:color w:val="000000"/>
              </w:rPr>
              <w:t>阀门，响应时间≤</w:t>
            </w:r>
            <w:r>
              <w:rPr>
                <w:rFonts w:ascii="仿宋_GB2312" w:hAnsi="仿宋_GB2312" w:cs="仿宋_GB2312" w:eastAsia="仿宋_GB2312"/>
                <w:sz w:val="21"/>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ms</w:t>
            </w:r>
            <w:r>
              <w:rPr>
                <w:rFonts w:ascii="仿宋_GB2312" w:hAnsi="仿宋_GB2312" w:cs="仿宋_GB2312" w:eastAsia="仿宋_GB2312"/>
                <w:sz w:val="21"/>
                <w:color w:val="000000"/>
              </w:rPr>
              <w:t>，配备自动控制的阀门和管路的金属加热模块，从室温（</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）可加热至</w:t>
            </w:r>
            <w:r>
              <w:rPr>
                <w:rFonts w:ascii="仿宋_GB2312" w:hAnsi="仿宋_GB2312" w:cs="仿宋_GB2312" w:eastAsia="仿宋_GB2312"/>
                <w:sz w:val="21"/>
                <w:color w:val="000000"/>
              </w:rPr>
              <w:t>≥</w:t>
            </w:r>
            <w:r>
              <w:rPr>
                <w:rFonts w:ascii="仿宋_GB2312" w:hAnsi="仿宋_GB2312" w:cs="仿宋_GB2312" w:eastAsia="仿宋_GB2312"/>
                <w:sz w:val="21"/>
                <w:color w:val="000000"/>
              </w:rPr>
              <w:t>200</w:t>
            </w:r>
            <w:r>
              <w:rPr>
                <w:rFonts w:ascii="仿宋_GB2312" w:hAnsi="仿宋_GB2312" w:cs="仿宋_GB2312" w:eastAsia="仿宋_GB2312"/>
                <w:sz w:val="21"/>
                <w:color w:val="000000"/>
              </w:rPr>
              <w:t>℃</w:t>
            </w:r>
            <w:r>
              <w:rPr>
                <w:rFonts w:ascii="仿宋_GB2312" w:hAnsi="仿宋_GB2312" w:cs="仿宋_GB2312" w:eastAsia="仿宋_GB2312"/>
                <w:sz w:val="21"/>
                <w:color w:val="000000"/>
              </w:rPr>
              <w:t>，以及专为</w:t>
            </w:r>
            <w:r>
              <w:rPr>
                <w:rFonts w:ascii="仿宋_GB2312" w:hAnsi="仿宋_GB2312" w:cs="仿宋_GB2312" w:eastAsia="仿宋_GB2312"/>
                <w:sz w:val="21"/>
                <w:color w:val="000000"/>
              </w:rPr>
              <w:t>ALD</w:t>
            </w:r>
            <w:r>
              <w:rPr>
                <w:rFonts w:ascii="仿宋_GB2312" w:hAnsi="仿宋_GB2312" w:cs="仿宋_GB2312" w:eastAsia="仿宋_GB2312"/>
                <w:sz w:val="21"/>
                <w:color w:val="000000"/>
              </w:rPr>
              <w:t>前驱体设计的自动控制自清洁阀组及程序；</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color w:val="000000"/>
              </w:rPr>
              <w:t>尾气管路：尾气真空角阀带加热功能，温度从室温（</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℃）可加热至≥</w:t>
            </w:r>
            <w:r>
              <w:rPr>
                <w:rFonts w:ascii="仿宋_GB2312" w:hAnsi="仿宋_GB2312" w:cs="仿宋_GB2312" w:eastAsia="仿宋_GB2312"/>
                <w:sz w:val="21"/>
                <w:color w:val="000000"/>
              </w:rPr>
              <w:t>150</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1"/>
                <w:color w:val="000000"/>
              </w:rPr>
              <w:t>尾气过滤：包括泵前级专用</w:t>
            </w:r>
            <w:r>
              <w:rPr>
                <w:rFonts w:ascii="仿宋_GB2312" w:hAnsi="仿宋_GB2312" w:cs="仿宋_GB2312" w:eastAsia="仿宋_GB2312"/>
                <w:sz w:val="21"/>
                <w:color w:val="000000"/>
              </w:rPr>
              <w:t>MLD</w:t>
            </w:r>
            <w:r>
              <w:rPr>
                <w:rFonts w:ascii="仿宋_GB2312" w:hAnsi="仿宋_GB2312" w:cs="仿宋_GB2312" w:eastAsia="仿宋_GB2312"/>
                <w:sz w:val="21"/>
                <w:color w:val="000000"/>
              </w:rPr>
              <w:t>尾气过滤装置，可稳定吸附反应残留的气体或物质等；采用金属滤芯</w:t>
            </w:r>
            <w:r>
              <w:rPr>
                <w:rFonts w:ascii="仿宋_GB2312" w:hAnsi="仿宋_GB2312" w:cs="仿宋_GB2312" w:eastAsia="仿宋_GB2312"/>
                <w:sz w:val="21"/>
                <w:color w:val="000000"/>
              </w:rPr>
              <w:t>+</w:t>
            </w:r>
            <w:r>
              <w:rPr>
                <w:rFonts w:ascii="仿宋_GB2312" w:hAnsi="仿宋_GB2312" w:cs="仿宋_GB2312" w:eastAsia="仿宋_GB2312"/>
                <w:sz w:val="21"/>
                <w:color w:val="000000"/>
              </w:rPr>
              <w:t>纸滤芯模式，金属滤芯内采用氧化铝球吸附气体，水汽；</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1"/>
                <w:color w:val="000000"/>
              </w:rPr>
              <w:t>软件控制系统：包括自动界面（包括工艺自动化执行、</w:t>
            </w:r>
            <w:r>
              <w:rPr>
                <w:rFonts w:ascii="仿宋_GB2312" w:hAnsi="仿宋_GB2312" w:cs="仿宋_GB2312" w:eastAsia="仿宋_GB2312"/>
                <w:sz w:val="21"/>
                <w:color w:val="000000"/>
              </w:rPr>
              <w:t>腔体压力和温度参数</w:t>
            </w:r>
            <w:r>
              <w:rPr>
                <w:rFonts w:ascii="仿宋_GB2312" w:hAnsi="仿宋_GB2312" w:cs="仿宋_GB2312" w:eastAsia="仿宋_GB2312"/>
                <w:sz w:val="21"/>
                <w:color w:val="000000"/>
              </w:rPr>
              <w:t>实时显示等）、手动界面（包括参数手动设定等）、系统监控界面（包括腔体压力和温度参数监控、腔体压力实时监控等）、工艺菜单编辑界面（包括简易工步预设格式、多工艺菜单存储功能等）；</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1"/>
                <w:color w:val="000000"/>
              </w:rPr>
              <w:t>实时数据记录：包括所有工艺过程参数、报警、设备运行的实时日志数据，数据为可下载的</w:t>
            </w:r>
            <w:r>
              <w:rPr>
                <w:rFonts w:ascii="仿宋_GB2312" w:hAnsi="仿宋_GB2312" w:cs="仿宋_GB2312" w:eastAsia="仿宋_GB2312"/>
                <w:sz w:val="21"/>
                <w:color w:val="000000"/>
              </w:rPr>
              <w:t>CSV</w:t>
            </w:r>
            <w:r>
              <w:rPr>
                <w:rFonts w:ascii="仿宋_GB2312" w:hAnsi="仿宋_GB2312" w:cs="仿宋_GB2312" w:eastAsia="仿宋_GB2312"/>
                <w:sz w:val="21"/>
                <w:color w:val="000000"/>
              </w:rPr>
              <w:t>等格式，存储容量≥</w:t>
            </w:r>
            <w:r>
              <w:rPr>
                <w:rFonts w:ascii="仿宋_GB2312" w:hAnsi="仿宋_GB2312" w:cs="仿宋_GB2312" w:eastAsia="仿宋_GB2312"/>
                <w:sz w:val="21"/>
                <w:color w:val="000000"/>
              </w:rPr>
              <w:t>500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GB</w:t>
            </w:r>
            <w:r>
              <w:rPr>
                <w:rFonts w:ascii="仿宋_GB2312" w:hAnsi="仿宋_GB2312" w:cs="仿宋_GB2312" w:eastAsia="仿宋_GB2312"/>
                <w:sz w:val="21"/>
                <w:color w:val="000000"/>
              </w:rPr>
              <w:t>，</w:t>
            </w:r>
            <w:r>
              <w:rPr>
                <w:rFonts w:ascii="仿宋_GB2312" w:hAnsi="仿宋_GB2312" w:cs="仿宋_GB2312" w:eastAsia="仿宋_GB2312"/>
                <w:sz w:val="21"/>
                <w:color w:val="000000"/>
              </w:rPr>
              <w:t>USB</w:t>
            </w:r>
            <w:r>
              <w:rPr>
                <w:rFonts w:ascii="仿宋_GB2312" w:hAnsi="仿宋_GB2312" w:cs="仿宋_GB2312" w:eastAsia="仿宋_GB2312"/>
                <w:sz w:val="21"/>
                <w:color w:val="000000"/>
              </w:rPr>
              <w:t>兼容；</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1"/>
                <w:color w:val="000000"/>
              </w:rPr>
              <w:t>报警及安全控制：具备温度、压力、气体流量、源互锁、上下样、电气和气动控制异常报警，软件报警，出错日志记录及外部报警指示灯等；内置工业标准自动安全互锁，用于温度、压力、气流、源串扰、装载和卸载、电气和气动等控制异常；配备用户登录和授权管理系统、</w:t>
            </w:r>
            <w:r>
              <w:rPr>
                <w:rFonts w:ascii="仿宋_GB2312" w:hAnsi="仿宋_GB2312" w:cs="仿宋_GB2312" w:eastAsia="仿宋_GB2312"/>
                <w:sz w:val="21"/>
                <w:color w:val="000000"/>
              </w:rPr>
              <w:t>EMO</w:t>
            </w:r>
            <w:r>
              <w:rPr>
                <w:rFonts w:ascii="仿宋_GB2312" w:hAnsi="仿宋_GB2312" w:cs="仿宋_GB2312" w:eastAsia="仿宋_GB2312"/>
                <w:sz w:val="21"/>
                <w:color w:val="000000"/>
              </w:rPr>
              <w:t>紧急制动按钮等；</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配备高温单管式源瓶</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个，容积≥</w:t>
            </w:r>
            <w:r>
              <w:rPr>
                <w:rFonts w:ascii="仿宋_GB2312" w:hAnsi="仿宋_GB2312" w:cs="仿宋_GB2312" w:eastAsia="仿宋_GB2312"/>
                <w:sz w:val="21"/>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mL</w:t>
            </w:r>
            <w:r>
              <w:rPr>
                <w:rFonts w:ascii="仿宋_GB2312" w:hAnsi="仿宋_GB2312" w:cs="仿宋_GB2312" w:eastAsia="仿宋_GB2312"/>
                <w:sz w:val="21"/>
                <w:color w:val="000000"/>
              </w:rPr>
              <w:t>，配有流量控制阀门、全自动控温从室温到</w:t>
            </w:r>
            <w:r>
              <w:rPr>
                <w:rFonts w:ascii="仿宋_GB2312" w:hAnsi="仿宋_GB2312" w:cs="仿宋_GB2312" w:eastAsia="仿宋_GB2312"/>
                <w:sz w:val="21"/>
                <w:color w:val="000000"/>
              </w:rPr>
              <w:t>180℃</w:t>
            </w:r>
            <w:r>
              <w:rPr>
                <w:rFonts w:ascii="仿宋_GB2312" w:hAnsi="仿宋_GB2312" w:cs="仿宋_GB2312" w:eastAsia="仿宋_GB2312"/>
                <w:sz w:val="21"/>
                <w:color w:val="000000"/>
              </w:rPr>
              <w:t>；配备双管式的可加热源瓶</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个，容积</w:t>
            </w:r>
            <w:r>
              <w:rPr>
                <w:rFonts w:ascii="仿宋_GB2312" w:hAnsi="仿宋_GB2312" w:cs="仿宋_GB2312" w:eastAsia="仿宋_GB2312"/>
                <w:sz w:val="21"/>
                <w:color w:val="000000"/>
              </w:rPr>
              <w:t>≥300 mL</w:t>
            </w:r>
            <w:r>
              <w:rPr>
                <w:rFonts w:ascii="仿宋_GB2312" w:hAnsi="仿宋_GB2312" w:cs="仿宋_GB2312" w:eastAsia="仿宋_GB2312"/>
                <w:sz w:val="21"/>
                <w:color w:val="000000"/>
              </w:rPr>
              <w:t>，配有流量控制阀门，全自动控温从室温到</w:t>
            </w:r>
            <w:r>
              <w:rPr>
                <w:rFonts w:ascii="仿宋_GB2312" w:hAnsi="仿宋_GB2312" w:cs="仿宋_GB2312" w:eastAsia="仿宋_GB2312"/>
                <w:sz w:val="21"/>
                <w:color w:val="000000"/>
              </w:rPr>
              <w:t>200℃</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反应气路：采用氧化源及非氧化源分路进气方式，配备独立气体流量计，流量</w:t>
            </w:r>
            <w:r>
              <w:rPr>
                <w:rFonts w:ascii="仿宋_GB2312" w:hAnsi="仿宋_GB2312" w:cs="仿宋_GB2312" w:eastAsia="仿宋_GB2312"/>
                <w:sz w:val="21"/>
                <w:color w:val="000000"/>
              </w:rPr>
              <w:t>≥</w:t>
            </w:r>
            <w:r>
              <w:rPr>
                <w:rFonts w:ascii="仿宋_GB2312" w:hAnsi="仿宋_GB2312" w:cs="仿宋_GB2312" w:eastAsia="仿宋_GB2312"/>
                <w:sz w:val="21"/>
                <w:color w:val="000000"/>
              </w:rPr>
              <w:t>200 SCCM</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集成双工位手套箱</w:t>
            </w:r>
            <w:r>
              <w:rPr>
                <w:rFonts w:ascii="仿宋_GB2312" w:hAnsi="仿宋_GB2312" w:cs="仿宋_GB2312" w:eastAsia="仿宋_GB2312"/>
                <w:sz w:val="21"/>
                <w:color w:val="000000"/>
              </w:rPr>
              <w:t>，</w:t>
            </w:r>
            <w:r>
              <w:rPr>
                <w:rFonts w:ascii="仿宋_GB2312" w:hAnsi="仿宋_GB2312" w:cs="仿宋_GB2312" w:eastAsia="仿宋_GB2312"/>
                <w:sz w:val="21"/>
                <w:color w:val="000000"/>
              </w:rPr>
              <w:t>手套箱侧面需满足安装尺寸：宽</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.4 m</w:t>
            </w:r>
            <w:r>
              <w:rPr>
                <w:rFonts w:ascii="仿宋_GB2312" w:hAnsi="仿宋_GB2312" w:cs="仿宋_GB2312" w:eastAsia="仿宋_GB2312"/>
                <w:sz w:val="21"/>
                <w:color w:val="000000"/>
              </w:rPr>
              <w:t>和高</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2.0 </w:t>
            </w:r>
            <w:r>
              <w:rPr>
                <w:rFonts w:ascii="仿宋_GB2312" w:hAnsi="仿宋_GB2312" w:cs="仿宋_GB2312" w:eastAsia="仿宋_GB2312"/>
                <w:sz w:val="21"/>
                <w:color w:val="000000"/>
              </w:rPr>
              <w:t>m</w:t>
            </w:r>
            <w:r>
              <w:rPr>
                <w:rFonts w:ascii="仿宋_GB2312" w:hAnsi="仿宋_GB2312" w:cs="仿宋_GB2312" w:eastAsia="仿宋_GB2312"/>
                <w:sz w:val="21"/>
                <w:color w:val="000000"/>
              </w:rPr>
              <w:t>，总长＜</w:t>
            </w:r>
            <w:r>
              <w:rPr>
                <w:rFonts w:ascii="仿宋_GB2312" w:hAnsi="仿宋_GB2312" w:cs="仿宋_GB2312" w:eastAsia="仿宋_GB2312"/>
                <w:sz w:val="21"/>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m</w:t>
            </w:r>
            <w:r>
              <w:rPr>
                <w:rFonts w:ascii="仿宋_GB2312" w:hAnsi="仿宋_GB2312" w:cs="仿宋_GB2312" w:eastAsia="仿宋_GB2312"/>
                <w:sz w:val="21"/>
                <w:color w:val="000000"/>
              </w:rPr>
              <w:t>，水氧浓度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 PPM</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集成浓度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臭氧发生器系统；</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1"/>
                <w:color w:val="000000"/>
              </w:rPr>
              <w:t>接口：配备</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RGA</w:t>
            </w:r>
            <w:r>
              <w:rPr>
                <w:rFonts w:ascii="仿宋_GB2312" w:hAnsi="仿宋_GB2312" w:cs="仿宋_GB2312" w:eastAsia="仿宋_GB2312"/>
                <w:sz w:val="21"/>
                <w:color w:val="000000"/>
              </w:rPr>
              <w:t>连接口和</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个石英晶体微天平</w:t>
            </w:r>
            <w:r>
              <w:rPr>
                <w:rFonts w:ascii="仿宋_GB2312" w:hAnsi="仿宋_GB2312" w:cs="仿宋_GB2312" w:eastAsia="仿宋_GB2312"/>
                <w:sz w:val="21"/>
                <w:color w:val="000000"/>
              </w:rPr>
              <w:t>QCM</w:t>
            </w:r>
            <w:r>
              <w:rPr>
                <w:rFonts w:ascii="仿宋_GB2312" w:hAnsi="仿宋_GB2312" w:cs="仿宋_GB2312" w:eastAsia="仿宋_GB2312"/>
                <w:sz w:val="21"/>
                <w:color w:val="000000"/>
              </w:rPr>
              <w:t>系统连接口，支持后期集成；</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21"/>
                <w:color w:val="000000"/>
              </w:rPr>
              <w:t>腔室与手套箱连接处的舱门带有机械锁定装置，可在腔体维护或真空度破坏时保持手套箱内气氛不受影响。</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交货时间：自合同签订后45日历日。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西安理工大学金花校区晶体楼305室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合同签订后（中标人需提供相应的发票）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所有设备及系统安装调试完成，并经采购人验收合格后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设备使用单位组成验收小组，验收小组对供应商提供的货物的品牌、名称、型号、配置、规格、外观、产地、生产厂商、技术性能、数量、服务承诺及结果等，对照政府采购合同、供应商投标（响应）文件等逐项进行现场检验、核对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包装标准：中标人提供产品及相关快递服务的包装要求，按照《商品包装政府采购需求标准（试行）》、《快递包装政府采购需求标准（试行）》执行，确保防潮、防震、防锈蚀； 运输方式：中标人自主选择，须购买全程运输保险，保证按期交付。不得断货，因断货造成的损失由中标人负责赔偿； 运输责任：运输由中标人负责，运杂费已包含在合同总价内。包括从货物供应地点运送至交付地点所含的运输费、装卸费、仓储费、保险费等； 存放与保管：货物到达采购人指定地点后，中标人应按有关技术规程和采购人要求进行存放和保管。</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1、违约责任：中标供应商未按合同约定的交货日期交货的，每逾期一日，向采购人支付逾期交付货物价款的1%的违约金，但不超过合同总金额的10%。中标供应商支付逾期交货违约金并不免除其交货的责任。 如中标供应商在政府采购合同规定的交货日期后10天内仍未能交货，则视为中标供应商不能交货，采购人有权解除政府采购合同，中标供应商除退还已收取的货款外，还应向采购人偿付政府采购合同总金额10%的违约金。 中标供应商所交付货物不符合其投标承诺，存在偷工减料、以次充好情形的，采购人要求更换一次后仍不符合约定的，采购人有权解除采购合同，没收履约保证金，并将有关情况上报政府采购监管部门处理。 2、争议解决：合同履行过程中出现争议时，由双方友好协商解决。协商不成，向买方所在地有管辖权的人民法院提起诉讼。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售后服务标准要求：①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②设备到货后，供应商负责安装和调试。设备安装调试期间，由供应商工程师在现场为采购人操作人员进行培训，受培训人数不限，培训内容包括但不限于：仪器原理、结构、操作、日常维护及保养等。 （2）售后服务效率要求：售后服务期间内，若是非人为原因造成的设备损坏，中标方应提供持续的硬件免费维修和更换服务。系统发生故障，供应商应在30分钟内响应，对于一般故障需要在4小时内修复；4小时内远程不能修复的故障，应提供上门服务，直到系统完全恢复正常使用为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财务状况证明：提供【2024年度经审计的已赋码且完整的财务报告；（成立时间至提交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存款账户信息）】,以上形式的证明资料提供任何一种即可。 3.提供具有履行合同所必需的设备和专业技术能力的承诺。 4.税收缴纳证明：提供递交响应文件截止之日前一年内任意一个月的依法缴纳税收的完税证明，完税证明应有税务机关或代收机关的公章或业务专用章。依法免税或无须缴纳税收的供应商，应提供相应证明文件。 5.社会保障资金缴纳证明：提供投标截止日前一年内已缴存的至少一个月的社会保障资金缴存单据或社保机构开具的社会保险参保缴费情况证明，依法不需要缴纳社会保障资金的单位应提供相关证明材料。 6.供应商应出具参加政府采购活动前3年内在经营活动中没有重大违法记录的书面声明。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2024年度经审计的已赋码且完整的财务报告；（成立时间至提交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存款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法定代表人授权书(附法定代表人、被授权人身份证复印件及投标截止日前一年内在本单位已缴存的至少一个月的社会保险参保缴费证明)，法定代表人直接参加投标，须提供法定代表人身份证明。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截止至响应文件递交截止时间之前，供应商未被列入“信用中国 ”网站（www.creditchina.gov.cn）失信被执行人、经营（活动）异常名录及重大税收违法失信主体；未被列入“中国政府采购网(www.ccgp.gov.cn)” 政府采购严重违法失信行为记录名单。（供应商可不提供，以代理机构查询结果为准）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投标保证金缴纳凭证或担保机构出具的保函。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本项目不允许联合体投标。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分项报价表及交货期、质保期.docx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产品技术参数表.docx 商务条款偏离表.docx 资格证明文件.docx 监狱企业的证明文件 投标方案及其他.docx 分项报价表及交货期、质保期.docx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产品技术参数表.docx 商务条款偏离表.docx 资格证明文件.docx 监狱企业的证明文件 投标方案及其他.docx 分项报价表及交货期、质保期.docx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 且报价不超过采购预算金额或最高限价。</w:t>
            </w:r>
          </w:p>
        </w:tc>
        <w:tc>
          <w:tcPr>
            <w:tcW w:type="dxa" w:w="1661"/>
          </w:tcPr>
          <w:p>
            <w:pPr>
              <w:pStyle w:val="null3"/>
            </w:pPr>
            <w:r>
              <w:rPr>
                <w:rFonts w:ascii="仿宋_GB2312" w:hAnsi="仿宋_GB2312" w:cs="仿宋_GB2312" w:eastAsia="仿宋_GB2312"/>
              </w:rPr>
              <w:t>开标一览表 标的清单 分项报价表及交货期、质保期.docx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交货期及质保期</w:t>
            </w:r>
          </w:p>
        </w:tc>
        <w:tc>
          <w:tcPr>
            <w:tcW w:type="dxa" w:w="3322"/>
          </w:tcPr>
          <w:p>
            <w:pPr>
              <w:pStyle w:val="null3"/>
            </w:pPr>
            <w:r>
              <w:rPr>
                <w:rFonts w:ascii="仿宋_GB2312" w:hAnsi="仿宋_GB2312" w:cs="仿宋_GB2312" w:eastAsia="仿宋_GB2312"/>
              </w:rPr>
              <w:t>应满足招标文件中要求的交货期及质保期。</w:t>
            </w:r>
          </w:p>
        </w:tc>
        <w:tc>
          <w:tcPr>
            <w:tcW w:type="dxa" w:w="1661"/>
          </w:tcPr>
          <w:p>
            <w:pPr>
              <w:pStyle w:val="null3"/>
            </w:pPr>
            <w:r>
              <w:rPr>
                <w:rFonts w:ascii="仿宋_GB2312" w:hAnsi="仿宋_GB2312" w:cs="仿宋_GB2312" w:eastAsia="仿宋_GB2312"/>
              </w:rPr>
              <w:t>开标一览表 标的清单 分项报价表及交货期、质保期.docx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技术参数“★”项</w:t>
            </w:r>
          </w:p>
        </w:tc>
        <w:tc>
          <w:tcPr>
            <w:tcW w:type="dxa" w:w="3322"/>
          </w:tcPr>
          <w:p>
            <w:pPr>
              <w:pStyle w:val="null3"/>
            </w:pPr>
            <w:r>
              <w:rPr>
                <w:rFonts w:ascii="仿宋_GB2312" w:hAnsi="仿宋_GB2312" w:cs="仿宋_GB2312" w:eastAsia="仿宋_GB2312"/>
              </w:rPr>
              <w:t>标“★”项为实质性要求，有1项不满足按废标处理。</w:t>
            </w:r>
          </w:p>
        </w:tc>
        <w:tc>
          <w:tcPr>
            <w:tcW w:type="dxa" w:w="1661"/>
          </w:tcPr>
          <w:p>
            <w:pPr>
              <w:pStyle w:val="null3"/>
            </w:pPr>
            <w:r>
              <w:rPr>
                <w:rFonts w:ascii="仿宋_GB2312" w:hAnsi="仿宋_GB2312" w:cs="仿宋_GB2312" w:eastAsia="仿宋_GB2312"/>
              </w:rPr>
              <w:t>投标方案及其他.docx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产品技术参数表.docx 商务条款偏离表.docx 资格证明文件.docx 监狱企业的证明文件 投标方案及其他.docx 分项报价表及交货期、质保期.docx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标项（▲）技术参数</w:t>
            </w:r>
          </w:p>
        </w:tc>
        <w:tc>
          <w:tcPr>
            <w:tcW w:type="dxa" w:w="2492"/>
          </w:tcPr>
          <w:p>
            <w:pPr>
              <w:pStyle w:val="null3"/>
            </w:pPr>
            <w:r>
              <w:rPr>
                <w:rFonts w:ascii="仿宋_GB2312" w:hAnsi="仿宋_GB2312" w:cs="仿宋_GB2312" w:eastAsia="仿宋_GB2312"/>
              </w:rPr>
              <w:t>所投产品技术参数清楚、明确，并能逐条响应招标文件第三章“技术参数表”中标▲项参数（8项）要求，得32分。 “▲”为重要技术参数共8项，每负偏离一项扣4分，共32分，扣完为止； 备注：以上参数须有佐证材料，佐证材料例如：制造商检验报告、官网功能截图、技术规格书或证明函等任意一种，不提供或缺漏项不得分。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投标方案及其他.docx</w:t>
            </w:r>
          </w:p>
        </w:tc>
      </w:tr>
      <w:tr>
        <w:tc>
          <w:tcPr>
            <w:tcW w:type="dxa" w:w="831"/>
            <w:vMerge/>
          </w:tcPr>
          <w:p/>
        </w:tc>
        <w:tc>
          <w:tcPr>
            <w:tcW w:type="dxa" w:w="1661"/>
          </w:tcPr>
          <w:p>
            <w:pPr>
              <w:pStyle w:val="null3"/>
            </w:pPr>
            <w:r>
              <w:rPr>
                <w:rFonts w:ascii="仿宋_GB2312" w:hAnsi="仿宋_GB2312" w:cs="仿宋_GB2312" w:eastAsia="仿宋_GB2312"/>
              </w:rPr>
              <w:t>非标项技术参数</w:t>
            </w:r>
          </w:p>
        </w:tc>
        <w:tc>
          <w:tcPr>
            <w:tcW w:type="dxa" w:w="2492"/>
          </w:tcPr>
          <w:p>
            <w:pPr>
              <w:pStyle w:val="null3"/>
            </w:pPr>
            <w:r>
              <w:rPr>
                <w:rFonts w:ascii="仿宋_GB2312" w:hAnsi="仿宋_GB2312" w:cs="仿宋_GB2312" w:eastAsia="仿宋_GB2312"/>
              </w:rPr>
              <w:t>非标项参数为普通技术参数，共9项，每负偏离一项扣1分，共9分，扣完为止。备注：评审时以各投标人投标文件中“产品技术参数表”响应为准，投标人对其响应真实性负责。</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投标方案及其他.docx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根据投标人针对本项目拟投产品来源的相关证明材料进行评审： 1、产品相关证明材料齐全、货源渠道正规（代理商提供产品销售代理协议，制造商提供生产证明文件）、链条清晰完整，完全满足本项目对产品的质量要求得5分； 2、产品相关证明材料缺失、链条模糊不完整，不能完全满足本项目对产品的质量要求得0分。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投标方案及其他.docx</w:t>
            </w:r>
          </w:p>
        </w:tc>
      </w:tr>
      <w:tr>
        <w:tc>
          <w:tcPr>
            <w:tcW w:type="dxa" w:w="831"/>
            <w:vMerge/>
          </w:tcPr>
          <w:p/>
        </w:tc>
        <w:tc>
          <w:tcPr>
            <w:tcW w:type="dxa" w:w="1661"/>
          </w:tcPr>
          <w:p>
            <w:pPr>
              <w:pStyle w:val="null3"/>
            </w:pPr>
            <w:r>
              <w:rPr>
                <w:rFonts w:ascii="仿宋_GB2312" w:hAnsi="仿宋_GB2312" w:cs="仿宋_GB2312" w:eastAsia="仿宋_GB2312"/>
              </w:rPr>
              <w:t>供货及培训方案</w:t>
            </w:r>
          </w:p>
        </w:tc>
        <w:tc>
          <w:tcPr>
            <w:tcW w:type="dxa" w:w="2492"/>
          </w:tcPr>
          <w:p>
            <w:pPr>
              <w:pStyle w:val="null3"/>
            </w:pPr>
            <w:r>
              <w:rPr>
                <w:rFonts w:ascii="仿宋_GB2312" w:hAnsi="仿宋_GB2312" w:cs="仿宋_GB2312" w:eastAsia="仿宋_GB2312"/>
              </w:rPr>
              <w:t>一、评审内容 根据投标人针对本项目提供的①供货方案②安装调试③人员配备④培训方案等方面制订具体的实施方案进行评审。 二、评审标准 1、可实施性：切合本项目实际情况，方案全面、实施步骤清晰、计划合理； 2、针对性：方案能够紧扣项目实际情况，内容科学合理； 三、赋分依据（满分8分） ①供货方案：每完全满足一项评审标准得1分，满分2分； ②安装调试：每完全满足一项评审标准得1分，满分2分； ③人员配备：每完全满足一项评审标准得1分，满分2分； ④培训方案：每完全满足一项评审标准得1分，满分2分； 缺项或未提供得0分。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投标方案及其他.docx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根据项目实际需求提供售后服务方案。内容包含①售后服务内容及保障措施②响应时间及方式。 二、评审标准 1、完整性：方案须全面，对评审内容中的各项要求描述详细； 2、可实施性：切合本项目实际情况，实施步骤清晰、合理； 3、针对性：方案能够紧扣项目实际情况，内容科学合理。 三、赋分依据（满分6分） ①售后服务内容及保障措施：每完全满足一个评审标准得1分，满分3分； ②响应时间及方式:每完全满足一个评审标准得1分，满分3分。 缺项或未提供得0分。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投标方案及其他.docx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提供投标人自2022年10月1日至今（时间以合同签订时间为准）实施的类似业绩证明（合同复印件加盖公章），每份计2分，满分10分。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投标方案及其他.docx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 2.满足招标文件实质性要求且最终报价最低的供应商的价格为投标基准价，其价格分为满分30分。 3.投标报价得分=（投标基准价/最终投标报价）×30。 4.投标报价不完整的，不进入投标基准价的计算，本项得0分。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分项报价表及交货期、质保期.docx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详见附件：投标方案及其他.docx</w:t>
      </w:r>
    </w:p>
    <w:p>
      <w:pPr>
        <w:pStyle w:val="null3"/>
        <w:ind w:firstLine="960"/>
      </w:pPr>
      <w:r>
        <w:rPr>
          <w:rFonts w:ascii="仿宋_GB2312" w:hAnsi="仿宋_GB2312" w:cs="仿宋_GB2312" w:eastAsia="仿宋_GB2312"/>
        </w:rPr>
        <w:t>详见附件：分项报价表及交货期、质保期.docx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