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版本号：ZCZX2025-ZB-213（S）20251120001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陕西省市场监督管理局网络安全改造项目(二次)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ZCZX2025-ZB-213（S）</w:t>
      </w:r>
      <w:r>
        <w:br/>
      </w:r>
      <w:r>
        <w:br/>
      </w:r>
      <w:r>
        <w:br/>
      </w:r>
    </w:p>
    <w:p>
      <w:pPr>
        <w:pStyle w:val="null3"/>
        <w:jc w:val="center"/>
        <w:outlineLvl w:val="2"/>
      </w:pPr>
      <w:r>
        <w:rPr>
          <w:rFonts w:ascii="仿宋_GB2312" w:hAnsi="仿宋_GB2312" w:cs="仿宋_GB2312" w:eastAsia="仿宋_GB2312"/>
          <w:sz w:val="28"/>
          <w:b/>
        </w:rPr>
        <w:t>陕西省市场监督管理局信息中心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陕西省市场监督管理局信息中心</w:t>
      </w:r>
      <w:r>
        <w:rPr>
          <w:rFonts w:ascii="仿宋_GB2312" w:hAnsi="仿宋_GB2312" w:cs="仿宋_GB2312" w:eastAsia="仿宋_GB2312"/>
        </w:rPr>
        <w:t>委托，拟对</w:t>
      </w:r>
      <w:r>
        <w:rPr>
          <w:rFonts w:ascii="仿宋_GB2312" w:hAnsi="仿宋_GB2312" w:cs="仿宋_GB2312" w:eastAsia="仿宋_GB2312"/>
        </w:rPr>
        <w:t>陕西省市场监督管理局网络安全改造项目(二次)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ZCZX2025-ZB-213（S）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陕西省市场监督管理局网络安全改造项目(二次)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陕西省市场监督管理局网络安全改造项目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采购包1：1,105,600.00元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陕西省市场监督管理局信息中心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陕西省市场监督管理局网络安全改造项目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1,105,600.00</w:t>
      </w:r>
    </w:p>
    <w:p>
      <w:pPr>
        <w:pStyle w:val="null3"/>
      </w:pPr>
      <w:r>
        <w:rPr>
          <w:rFonts w:ascii="仿宋_GB2312" w:hAnsi="仿宋_GB2312" w:cs="仿宋_GB2312" w:eastAsia="仿宋_GB2312"/>
        </w:rPr>
        <w:t>采购包最高限价（元）: 1,105,600.00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密码产品、安全认证网关等相关网络安全设备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1,105,600.00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标的名称：密码产品、安全认证网关等相关网络安全设备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一、参数要求</w:t>
            </w:r>
          </w:p>
          <w:tbl>
            <w:tblPr>
              <w:tblInd w:type="dxa" w:w="90"/>
              <w:tblBorders>
                <w:top w:val="none" w:color="000000" w:sz="4"/>
                <w:left w:val="none" w:color="000000" w:sz="4"/>
                <w:bottom w:val="none" w:color="000000" w:sz="4"/>
                <w:right w:val="none" w:color="000000" w:sz="4"/>
                <w:insideH w:val="none"/>
                <w:insideV w:val="none"/>
              </w:tblBorders>
            </w:tblPr>
            <w:tblGrid>
              <w:gridCol w:w="168"/>
              <w:gridCol w:w="349"/>
              <w:gridCol w:w="207"/>
              <w:gridCol w:w="215"/>
              <w:gridCol w:w="1604"/>
            </w:tblGrid>
            <w:tr>
              <w:tc>
                <w:tcPr>
                  <w:tcW w:type="dxa" w:w="1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20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6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r>
            <w:tr>
              <w:tc>
                <w:tcPr>
                  <w:tcW w:type="dxa" w:w="168"/>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c>
                <w:tcPr>
                  <w:tcW w:type="dxa" w:w="1604"/>
                  <w:vMerge/>
                  <w:tcBorders>
                    <w:top w:val="single" w:color="000000" w:sz="4"/>
                    <w:left w:val="single" w:color="000000" w:sz="4"/>
                    <w:bottom w:val="single" w:color="000000" w:sz="4"/>
                    <w:right w:val="single" w:color="000000" w:sz="4"/>
                  </w:tcBorders>
                </w:tcP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服务器密码机</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1.标准2U机架式设备，国产CPU：核心数不少于8个；内存不少于16G；国产操作系统，千兆网口≥2，万兆光口≥4；1+1冗余电源。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2.具备开盖密钥销毁功能，具备密钥一键销毁功能。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3.管理后台为B/S模式，管理登录支持国密浏览器并使用TLCP协议进行双向身份鉴别。</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4.能够实现基于SM4算法的格式保留加密，以实现密文与明文具有相同格式与长度。</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5.内置国密二级密码卡。</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6.支持设备初始化配置，包括密钥产生安装、生成管理员、按照安全机制对密钥安全存储和备份、系统配置、一键检测等功能，保证设备处于正常工作状态。</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7.至少支持三层密钥结构，包括：管理密钥、用户密钥/设备密钥/密钥加密密钥、会话密钥。</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▲8.支持ECB、CBC、OFB、CFB、CTR、XTS、GCM、CCM等多种算法模式。（提供检测报告）</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9.支持审计日志的记录，查询和导出功能，支持审计审计日志签名。</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10.支持设备运行状态监控，支持监控CPU使用率、内存使用率、磁盘使用率等。</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11.支持多种调用方式，提供多种调用接口，提供标准API，支持SDF、JCE、P11等接口。</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12.支持API接口。</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▲13.支持日志等级设置，可设置为DEBUG、WARN、ERR0R、FATAL四个等级，且支持通过数字签名的方式实现日志数据完整性保护。（提供检测报告)</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14.整机具有《商用密码产品认证证书》。</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签名验签服务器</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1.标准2U机架式设备，国产CPU：核心数不少于8个；内存不少于16G；国产操作系统，千兆网口≥2，万兆光口≥4；1+1冗余电源。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2.（1）验证证书≥35000次/秒；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2）SM2算法：</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数字签名速度</w:t>
                  </w:r>
                  <w:r>
                    <w:rPr>
                      <w:rFonts w:ascii="仿宋_GB2312" w:hAnsi="仿宋_GB2312" w:cs="仿宋_GB2312" w:eastAsia="仿宋_GB2312"/>
                      <w:sz w:val="20"/>
                      <w:color w:val="000000"/>
                    </w:rPr>
                    <w:t>≥77000次/秒；验签速度≥63000次/秒；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消息签名速度</w:t>
                  </w:r>
                  <w:r>
                    <w:rPr>
                      <w:rFonts w:ascii="仿宋_GB2312" w:hAnsi="仿宋_GB2312" w:cs="仿宋_GB2312" w:eastAsia="仿宋_GB2312"/>
                      <w:sz w:val="20"/>
                      <w:color w:val="000000"/>
                    </w:rPr>
                    <w:t>≥62000次/秒；验签速度≥40000次/秒；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3）SM3杂凑算法≥850Mbps；</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4）SM2数字信封制作速度≥27000次/秒；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5）SM2数字信封解封速度≥34000次/秒；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6）SM2签名数字信封制作速度≥16000次/秒；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7）SM2签名数字信封解封速度≥22000次/秒；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8）SM2时间戳签发速度≥25000次/秒；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9）SM2时间戳验证速度≥18000次/秒。</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3.具备开盖密钥销毁功能，具备密钥一键销毁功能。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4.管理后台为B/S模式，管理登录支持国密浏览器并使用TLCP协议进行双向身份鉴别。</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5.支持 SM2、SM3、SM4算法。</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6.支持制作数字签名，可以数据原文制作数字签名，签名结构符合PKCS#1/PKCS#7 Attach/PKCS#7Detach等多种格式标准。</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▲7.支持数字签名/验证功能，提供基于SM2算法的数字签名和认证功能，可用于证书生成和验证、身份认证等，支持条形码签名验签（SM2）、PFX签名。</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8.支持配置不同的证书信任域，证书验证策略支持配 置不验证、根证书、CRL、OCSP 等多种验证策略。</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9.权限控制：所投产品支持管理员、审计员、操作员多级权限，对设备的不同管理操作需不同管理人员登录，从而具备相应的管理权限。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10.支持IP白名单、连接口令等访问控制功能；密钥结构采用“系统保护密钥-用户密钥-会话密钥”的三层密钥。</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11.保护结构，保证关键密钥在任何时候 不以明文形式出现在设备外，密钥备份文件受备份密钥加密保护。</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12.整机具有《商用密码产品认证证书》。</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安全认证网关</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1.标准1U机架式设备，国产CPU：核心数不少于8个，内存不少于16G；国产操作系统，千兆电口≥6，千兆光口≥4，万兆光口≥4;1+1冗余电源，功率不少于300W。</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2.具备开盖密钥销毁功能，具备密钥一键销毁功能。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3.IPSec：</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密文吞吐率</w:t>
                  </w:r>
                  <w:r>
                    <w:rPr>
                      <w:rFonts w:ascii="仿宋_GB2312" w:hAnsi="仿宋_GB2312" w:cs="仿宋_GB2312" w:eastAsia="仿宋_GB2312"/>
                      <w:sz w:val="20"/>
                      <w:color w:val="000000"/>
                    </w:rPr>
                    <w:t>≥4000Mbps</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最大隧道数</w:t>
                  </w:r>
                  <w:r>
                    <w:rPr>
                      <w:rFonts w:ascii="仿宋_GB2312" w:hAnsi="仿宋_GB2312" w:cs="仿宋_GB2312" w:eastAsia="仿宋_GB2312"/>
                      <w:sz w:val="20"/>
                      <w:color w:val="000000"/>
                    </w:rPr>
                    <w:t>≥10000</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每秒新建隧道数</w:t>
                  </w:r>
                  <w:r>
                    <w:rPr>
                      <w:rFonts w:ascii="仿宋_GB2312" w:hAnsi="仿宋_GB2312" w:cs="仿宋_GB2312" w:eastAsia="仿宋_GB2312"/>
                      <w:sz w:val="20"/>
                      <w:color w:val="000000"/>
                    </w:rPr>
                    <w:t>≥90</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SSL:</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密文吞吐率</w:t>
                  </w:r>
                  <w:r>
                    <w:rPr>
                      <w:rFonts w:ascii="仿宋_GB2312" w:hAnsi="仿宋_GB2312" w:cs="仿宋_GB2312" w:eastAsia="仿宋_GB2312"/>
                      <w:sz w:val="20"/>
                      <w:color w:val="000000"/>
                    </w:rPr>
                    <w:t>≥2000Mbps</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每秒新建连接数</w:t>
                  </w:r>
                  <w:r>
                    <w:rPr>
                      <w:rFonts w:ascii="仿宋_GB2312" w:hAnsi="仿宋_GB2312" w:cs="仿宋_GB2312" w:eastAsia="仿宋_GB2312"/>
                      <w:sz w:val="20"/>
                      <w:color w:val="000000"/>
                    </w:rPr>
                    <w:t>≥3000tps</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最大并发连接数</w:t>
                  </w:r>
                  <w:r>
                    <w:rPr>
                      <w:rFonts w:ascii="仿宋_GB2312" w:hAnsi="仿宋_GB2312" w:cs="仿宋_GB2312" w:eastAsia="仿宋_GB2312"/>
                      <w:sz w:val="20"/>
                      <w:color w:val="000000"/>
                    </w:rPr>
                    <w:t>≥25000</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最大并发用户数</w:t>
                  </w:r>
                  <w:r>
                    <w:rPr>
                      <w:rFonts w:ascii="仿宋_GB2312" w:hAnsi="仿宋_GB2312" w:cs="仿宋_GB2312" w:eastAsia="仿宋_GB2312"/>
                      <w:sz w:val="20"/>
                      <w:color w:val="000000"/>
                    </w:rPr>
                    <w:t>≥5000。</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▲4.至少支持SM1、SM2、SM3、SM4密码算法。至少支持ECC(SM2)-SM4-SM3、 ECC(SM2) -SM1-SM3算法套件。支持SM2+SM1+SM3+ESP、SM2+SM4+SM3+ESP隧道模式。</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5.统一身份认证，提供静态密码、数字证书等多种身份认证方式。业务系统无需关注复杂的认证过程和细节，大大简化业务系统接入强身份认证手段的实现难度。</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6.管理后台为B/S模式，管理登录支持国密浏览器并使用TLCP协议进行双向身份鉴别。</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业务系统单点登录，对于支持单点登录功能的应用系统，可通过VPN综合安全网关实现单点登录功能。各系统用户只需登录一次，即可访问被授权使用的所有应用系统。一旦登出后，被授权的系统均不可再执行操作。</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8.SSL自适应，搭配国密和非国密浏览器，实现SSL自适应，实现数据以HTTPS形式传输。</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9.支持国密TLCP协议。</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10.支持SSL认证、SSL卸载、数据压缩、数据缓存功能。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11.整机具有《商用密码产品认证证书》。</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协同签名服务端</w:t>
                  </w:r>
                  <w:r>
                    <w:rPr>
                      <w:rFonts w:ascii="仿宋_GB2312" w:hAnsi="仿宋_GB2312" w:cs="仿宋_GB2312" w:eastAsia="仿宋_GB2312"/>
                      <w:sz w:val="20"/>
                      <w:color w:val="000000"/>
                    </w:rPr>
                    <w:t>(密码模块)</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1.客户端支持数据库防护功能，能够对数据存量数据进行加解密及数据脱敏。</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2.具备开盖密钥销毁功能，具备密钥一键销毁功能。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3.管理后台为B/S模式，管理登录支持国密浏览器并使用TLCP协议进行双向身份鉴别。</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4.通过分布式协同数字签名技术，由移动端与服务端各自独立生成密钥、独立存储密钥，在签名阶段由双方协作共同完成数字签名。</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5.客户端密码模块以SDK形式嵌入用户APP，和协同签名服务端系统配合完成私钥的管理、签名、解密工作。</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▲6.客户端支持终端管理功能，能够管理50000个安全密码模块。</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7.支持对签名结果进行验证，支持对 X.509 证书有效性进行验证，支持解析 X.509 证书内容，获取证书信息。</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8.支持产生随机数，该随机数可作为登录认证的挑战随机数。</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9.整机具有《商用密码产品认证证书》。</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智能密钥钥匙（</w:t>
                  </w:r>
                  <w:r>
                    <w:rPr>
                      <w:rFonts w:ascii="仿宋_GB2312" w:hAnsi="仿宋_GB2312" w:cs="仿宋_GB2312" w:eastAsia="仿宋_GB2312"/>
                      <w:sz w:val="20"/>
                      <w:color w:val="000000"/>
                    </w:rPr>
                    <w:t>USBKEY）</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1.采用高技能、高容量内嵌智能芯片（32位高性能智能卡芯片）。</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CE和FCC标准。</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2.真硬件随机数发生器，符合国内二级模块或国际随机数检测标准。</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3.用户存储空支持128K-192K。</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4.同时支持国密应用8个。</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5.同时支持证书8个以上。</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6.支持RSA（1024/2048位）。</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7.支持SM1/SM2/SM3/SM4 , SSF33（256位）系列算法。</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8.支持 DES, 3DES, AES128/192/256。</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 SHA1/SHA256/SHA384/SHA512。</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国密浏览器</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1.能够兼容主流的智能密码钥匙。</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2.能够与本项目中其他产品无缝整。</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个人证书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r>
                    <w:rPr>
                      <w:rFonts w:ascii="仿宋_GB2312" w:hAnsi="仿宋_GB2312" w:cs="仿宋_GB2312" w:eastAsia="仿宋_GB2312"/>
                      <w:sz w:val="20"/>
                      <w:color w:val="000000"/>
                    </w:rPr>
                    <w:t>/年</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1.用于证明用户身份。</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设备证书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r>
                    <w:rPr>
                      <w:rFonts w:ascii="仿宋_GB2312" w:hAnsi="仿宋_GB2312" w:cs="仿宋_GB2312" w:eastAsia="仿宋_GB2312"/>
                      <w:sz w:val="20"/>
                      <w:color w:val="000000"/>
                    </w:rPr>
                    <w:t>/年</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1.签发给安全认证网关关，用于实现设备身份鉴别。</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国密智能采集系统</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1.满足国密要求。</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2.智能采集终端≥12个，机房采集数据存储时间保存半年。</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3.支持智能资源模式切换：人脸抓拍（默认）、人数统计、smart事件、普通监控。</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4.Smart录像：支持断网续传功能保证录像不丢失，配合Smart NVR/SD卡实现事件录像的智能后检索、分析和浓缩播放，Smart编码：支持低码率、低延时、ROI感兴趣区域增强编码、SVC自适应编码技术，支持Smart265编码。</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5.鳞镜补光：采用隐藏式灯珠设计，通过鳞甲密布排列形成的镜面反射出光，见光不见灯。增加发光面积，降低聚光效果，补光柔和均匀。</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6.系统功能：支持开放型网络接口、ISAPI、GB/T28181和OTAP；支持三码流技术，支持同时20路取流；支持萤石平台接入。</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7.宽动态：支持宽动态范围达120 dB，适合逆光环境监控。</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8.安全服务：支持三级用户权限管理，支持授权的用户和密码，支持IP地址过滤。</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▲9.商密能力：</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内置通过国家密码局检测认证的安全芯片，支持</w:t>
                  </w:r>
                  <w:r>
                    <w:rPr>
                      <w:rFonts w:ascii="仿宋_GB2312" w:hAnsi="仿宋_GB2312" w:cs="仿宋_GB2312" w:eastAsia="仿宋_GB2312"/>
                      <w:sz w:val="20"/>
                      <w:color w:val="000000"/>
                    </w:rPr>
                    <w:t>SM1/SM2/SM3/SM4等国家商用密码算法；</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支持基于数字证书的设备接入认证能力；</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支持基于国家商用密码算法的信令认证能力；</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支持符合国家商用密码算法标准的证书请求文件导出；</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支持符合国家商用密码算法标准的数字证书导入；</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支持数字证书签名加密双证书体系；</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CA系统根证书导入，用于校验平台身份可靠性；支持平台身份证书导入，用于接入平台认证。</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10.图像相关：支持200万像素 @25 fps实时帧率，图像更流畅；支持透雾，电子防抖，并具有多种白平衡模式，适合各种场景需求。</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11.接口功能：内置MicroSD/MicroSDHC/MicroSDXC插槽，最大支持 512 GB；支持10M/100M自适应网口；支持一对报警输入输出。</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12.支持电量检测：支持设备功耗检测，支持设备功耗报表展示，报表类型支持日报表和周报表（默认日报表，单位瓦时（W·h））。</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web应用防火墙</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▲1.标准硬件设备≥2U，国产化CPU，≥32G内存，≥4T SATA(4T 企业级硬盘)，≥2*GE管理口（1*MGT口、1*HA口），≥4*GE业务电口，冗余电</w:t>
                  </w:r>
                  <w:r>
                    <w:rPr>
                      <w:rFonts w:ascii="仿宋_GB2312" w:hAnsi="仿宋_GB2312" w:cs="仿宋_GB2312" w:eastAsia="仿宋_GB2312"/>
                      <w:sz w:val="20"/>
                    </w:rPr>
                    <w:t>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2.含数据可视化大屏，反爬虫和人机</w:t>
                  </w:r>
                  <w:r>
                    <w:rPr>
                      <w:rFonts w:ascii="仿宋_GB2312" w:hAnsi="仿宋_GB2312" w:cs="仿宋_GB2312" w:eastAsia="仿宋_GB2312"/>
                      <w:sz w:val="20"/>
                    </w:rPr>
                    <w:t>识别。</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3.具备http协议深层解码能力，支持递归解码，解码方式包括：URL解码、JSON解码、Base64解码、16进制转换、斜杠反转义、XML解析、PHP反序列化解析、UTF-7解码。</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4.支持流量学习技术，可自动发现业务进行学习，建立不同的流量模型。</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5.支持SQL注入攻击检测，通过解析http协议中payload内容，识别符合sql语句的特征，评估威胁等级并阻断。</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6.支持XSS注入检测，通过分析Html片段的DOM结构，解析存在的JS片段，进行智能分析，根据分析结果评估威胁等级并阻断。</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7.支持代码注入、命令注入攻击检测，支持检测上传文件中是否包含Java、Php代码注入信息。</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8.支持服务器响应信息检测，防止响应错误信息包含服务器列目录、SQL报错、服务器异常信息等。</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9.支持动态混淆防护：对需要保护的网页内容进行混淆变形，对业务逻辑以及存在的漏洞点起到隐藏保护作用。</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10.攻击检测日志应包含完整的事件信息，包括攻击类型、风险等级、攻击向量、完整请求信息等，支持报警日志下载。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11.支持动态令牌验证：对请求增加令牌信息，提高自动化工具进行重放重放攻击或请求伪造方式对防护服务器进行保护。</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国密堡垒机</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1.满足国密要求。</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▲2.内存≥16G，硬盘≥4T，授权≥50个授权许可。可对网络设备、安全设备、主机设备等进行安全运维审计管理。</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3.自身提供了证书认证、手机动态令牌，也可与第三方CA、动态令牌等进行结合。支持任意组合认证，提高访问的安全性。</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4.资源类型：支持资源类型丰富，unix资源、网络资源、windows资源、数据库资源、C/S资源、B/S资源。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5.主账号支持分组管理，分组可以采用树形方式展现，不限制分组层级数量。</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6.支持RDP、SSH1、SSH2、TELNET、FTP、SFTP等协议。</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7.支持Windows图形审计的监控，管理员可以随时查看运维人员的操作，并且可以发送告警信息进行会话锁定和解锁。</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数据库审计</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▲1.≥12T存储，≥64G内存，国产化CPU，CPU≥20核，数据库审计授权≥30或无授权限制。</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2.数据库流量，SQL处理性能：≥18000条SQL/s。</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3.支持主流数据库Oracle、SQL-Server、DB2、MySQL、Informix、Sybase、Postgresql、Cache、达梦、人大金仓、MongDB、K-DB、虚谷。</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深度解码数据库网络传输协议，完整记录用户数据库会话细节，包括发生时间、源IP、源端口、源MAC、目的IP、目的端口、数据库用户、数据库类型、操作类型、SQL语句、SQL模版、客户端程序名、响应码、影响行数、返回行数、SQL预计响应时间。</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5.通过SQL串模式抽取保障磁盘IO的读写性能；分离式存储SQL语句保障数据审计速度快；TB级日志秒级查询、支持指定源IP、时间日期、客户端程序、业务系统、数据库用户。</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6.内置大量SQL安全规则；支持自定义数据库安全策略，可根据业务需要自定义各种场景的安全规则，对于违规的数据库访问可进行实时警告。</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7.可以对SQL语句进行安全检测，并识别当前的SQL操作是否有暴库、撞库等严重性安全问题，如果命中了安全风险规则，那么可根据动作进行阻断、告警、记录等操作，可提示管理员作出相应的防御措施。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可以通过自定义交互分析设置正常访问和异常访问视图、数据库泄密分析、图形化泄密轨迹分析、数据窃取、数据库风险、外发数据人员、受攻击业务系统、风险总次数这几个维度实时监控内网数据威胁态势并且提供交互式分析视图帮助企业快速溯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9.支持同厂商的安全态势感知平台联动实现数据外发泄密分析。</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10.支持SNMP方式，提供系统运行状态给第三方网管系统；支持Syslog方式向外发送审计日志。</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11.支持对所有审计管理员操作审计系统的动作进行审计；支持日志类型、IP地址权限设置；支持页面功能模块权限设置。</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12.支持Syslog告警、SNMP trap告警、邮件告警、短信告警；支持WEB界面备份及日志恢复导入工作。</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13.支持自动与手动两种备份归档方式。</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防篡改</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1.包含防篡改管理管理平台硬件，采用国产化CPU。</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2.通过防篡改引擎、实时监测、实时阻断等能力为网站服务器提供全方位保护，保障网站安全、稳定运行。</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3.兼容windows/linux主流操作系统，适配统信、麒麟国产化系统。</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4.支持基于文件过滤驱动保护技术的网页防篡改功能。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5.自身操作审计日志记录，详细记录操作管理员的操作管理行为，支持导出excel报表。</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6.支持对网站服务器的CPU、内存、收包量、发包量等信息进行实时监控。</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7.支持服务运行状态记录，并实时记入日志，支持导出excel报表。</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▲8.支持防护端与管理中心连接监控功能(Windows平台)，发现连接异常则对防护端进行重启，并记录重启动作。</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9.支持在断线情况下对网页文件目录的防护功能。</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10.支持网页防篡改支持增加策略生效时间控制，可在防护端设置防篡改功能的启用与停用的时间。</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11.服务器进程黑白名单许可控制，防止挂马攻击或后门程序运行。</w:t>
                  </w:r>
                </w:p>
              </w:tc>
            </w:tr>
            <w:tr>
              <w:tc>
                <w:tcPr>
                  <w:tcW w:type="dxa" w:w="168"/>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12.采用基于文件过滤驱动保护技术、增强级事件触发机制相结合方式。</w:t>
                  </w:r>
                </w:p>
              </w:tc>
            </w:tr>
          </w:tbl>
          <w:p>
            <w:pPr>
              <w:pStyle w:val="null3"/>
            </w:pPr>
            <w:r>
              <w:rPr>
                <w:rFonts w:ascii="仿宋_GB2312" w:hAnsi="仿宋_GB2312" w:cs="仿宋_GB2312" w:eastAsia="仿宋_GB2312"/>
              </w:rPr>
              <w:t xml:space="preserve">  二、其他要求</w:t>
            </w:r>
          </w:p>
          <w:p>
            <w:pPr>
              <w:pStyle w:val="null3"/>
              <w:numPr>
                <w:ilvl w:val="0"/>
                <w:numId w:val="1"/>
              </w:numPr>
            </w:pPr>
            <w:r>
              <w:rPr>
                <w:rFonts w:ascii="仿宋_GB2312" w:hAnsi="仿宋_GB2312" w:cs="仿宋_GB2312" w:eastAsia="仿宋_GB2312"/>
              </w:rPr>
              <w:t>所有产品质保期三年</w:t>
            </w:r>
            <w:r>
              <w:rPr>
                <w:rFonts w:ascii="仿宋_GB2312" w:hAnsi="仿宋_GB2312" w:cs="仿宋_GB2312" w:eastAsia="仿宋_GB2312"/>
              </w:rPr>
              <w:t>。</w:t>
            </w:r>
          </w:p>
          <w:p>
            <w:pPr>
              <w:pStyle w:val="null3"/>
              <w:numPr>
                <w:ilvl w:val="0"/>
                <w:numId w:val="1"/>
              </w:numPr>
            </w:pPr>
            <w:r>
              <w:rPr>
                <w:rFonts w:ascii="仿宋_GB2312" w:hAnsi="仿宋_GB2312" w:cs="仿宋_GB2312" w:eastAsia="仿宋_GB2312"/>
              </w:rPr>
              <w:t>本项目核心产品为</w:t>
            </w:r>
            <w:r>
              <w:rPr>
                <w:rFonts w:ascii="仿宋_GB2312" w:hAnsi="仿宋_GB2312" w:cs="仿宋_GB2312" w:eastAsia="仿宋_GB2312"/>
              </w:rPr>
              <w:t>：服务器密码机。</w:t>
            </w:r>
          </w:p>
          <w:p>
            <w:pPr>
              <w:pStyle w:val="null3"/>
              <w:ind w:firstLine="400"/>
            </w:pPr>
            <w:r>
              <w:rPr>
                <w:rFonts w:ascii="仿宋_GB2312" w:hAnsi="仿宋_GB2312" w:cs="仿宋_GB2312" w:eastAsia="仿宋_GB2312"/>
              </w:rPr>
              <w:t>三、交货期</w:t>
            </w:r>
          </w:p>
          <w:p>
            <w:pPr>
              <w:pStyle w:val="null3"/>
              <w:ind w:firstLine="400"/>
            </w:pPr>
            <w:r>
              <w:rPr>
                <w:rFonts w:ascii="仿宋_GB2312" w:hAnsi="仿宋_GB2312" w:cs="仿宋_GB2312" w:eastAsia="仿宋_GB2312"/>
              </w:rPr>
              <w:t>自合同签订之日起两个月内。</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中标供应商在领取中标通知书前，需向采购代理机构提交纸质版响应文件2份，纸质版文件须为电子响应文件的打印版。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关联关系说明.docx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商务条款（合同条款）偏离表.docx 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依据各投标人所投产品的主要技术指标、参数及性能等情况，以及与招标文件技术要求的响应程度打分，满分25分。 1、标▲项每负偏离一项扣2分，此项共计20分，扣完为止。 2、非▲项每负偏离一项扣0.5分。此项共计5分，扣完为止。 评审依据：▲项需按招标文件要求提供相应的证明材料，▲项未做要求的，可提供包括但不限于技术白皮书、产品彩页、说明书、检测/检验报告、官网截图等，未提供的不计分。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针对本项目提供实施方案， 1、组织协调措施方案； 2、供货保障措施方案； 3、安装调试方案； 4、技术培训方案。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针对本项目提供质量保障方案 1、服务质量监督控制体系； 2、服务质量保证措施。 完整提供上述2项内容的得10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产品货源渠道正常，有质量保证，技术资料齐全，无产权纠纷。提供产品来源渠道合法的证明文件（包括但不限于销售协议、代理协议、原厂授权等），每提供一个产品证明资料计0.5分，满分6.5分。</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针对本项目有具体的售后服务方案,该方案包含：1、售后服务保障措施； 2、故障处理响应时间及售后人员配置安排计划。 完整提供上述2项内容的得5分；每有一项未提供扣2.5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提供2022年1月至今同类项目业绩，投标文件中附有其业绩证明材料，业绩以合同为依据，每提供一个计0.5分，满分3.5分。</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详见附件：关联关系说明.docx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