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90FEE">
      <w:pPr>
        <w:pStyle w:val="3"/>
        <w:rPr>
          <w:rFonts w:ascii="仿宋" w:hAnsi="仿宋" w:eastAsia="仿宋"/>
        </w:rPr>
      </w:pPr>
      <w:bookmarkStart w:id="0" w:name="_Toc85019468"/>
      <w:bookmarkStart w:id="1" w:name="_Toc27391"/>
      <w:bookmarkStart w:id="2" w:name="_Toc102769683"/>
      <w:r>
        <w:rPr>
          <w:rFonts w:hint="eastAsia" w:ascii="仿宋" w:hAnsi="仿宋" w:eastAsia="仿宋"/>
          <w:bCs/>
          <w:iCs/>
          <w:szCs w:val="22"/>
        </w:rPr>
        <w:t>供应商资格证明文件</w:t>
      </w:r>
      <w:bookmarkEnd w:id="0"/>
      <w:bookmarkEnd w:id="1"/>
      <w:bookmarkEnd w:id="2"/>
    </w:p>
    <w:p w14:paraId="754AE975">
      <w:pPr>
        <w:spacing w:line="360" w:lineRule="auto"/>
        <w:outlineLvl w:val="0"/>
        <w:rPr>
          <w:rFonts w:hint="default" w:ascii="仿宋" w:hAnsi="仿宋" w:eastAsia="仿宋" w:cs="仿宋"/>
          <w:b/>
          <w:bCs/>
          <w:sz w:val="24"/>
          <w:szCs w:val="24"/>
        </w:rPr>
      </w:pPr>
      <w:bookmarkStart w:id="3" w:name="_Toc497551834"/>
      <w:bookmarkStart w:id="4" w:name="_Toc497546932"/>
      <w:bookmarkStart w:id="5" w:name="_Toc497712147"/>
      <w:bookmarkStart w:id="6" w:name="_Toc233435994"/>
      <w:bookmarkStart w:id="7" w:name="_Toc492955473"/>
      <w:bookmarkStart w:id="8" w:name="_Toc497711599"/>
      <w:r>
        <w:rPr>
          <w:rFonts w:ascii="仿宋" w:hAnsi="仿宋" w:eastAsia="仿宋" w:cs="仿宋"/>
          <w:b/>
          <w:bCs/>
          <w:sz w:val="24"/>
          <w:szCs w:val="24"/>
        </w:rPr>
        <w:t>（一）满足《中华人民共和国政府采购法》第二十二条规定</w:t>
      </w:r>
    </w:p>
    <w:p w14:paraId="1E7C647C">
      <w:pPr>
        <w:spacing w:line="360" w:lineRule="auto"/>
        <w:rPr>
          <w:rFonts w:hint="default" w:ascii="仿宋" w:hAnsi="仿宋" w:eastAsia="仿宋" w:cs="仿宋"/>
          <w:b w:val="0"/>
          <w:bCs w:val="0"/>
          <w:sz w:val="24"/>
          <w:szCs w:val="24"/>
        </w:rPr>
      </w:pPr>
      <w:r>
        <w:rPr>
          <w:rFonts w:hint="default" w:ascii="仿宋" w:hAnsi="仿宋" w:eastAsia="仿宋" w:cs="仿宋"/>
          <w:b w:val="0"/>
          <w:bCs w:val="0"/>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697E3BB9">
      <w:pPr>
        <w:spacing w:line="360" w:lineRule="auto"/>
        <w:rPr>
          <w:rFonts w:hint="default" w:ascii="仿宋" w:hAnsi="仿宋" w:eastAsia="仿宋" w:cs="仿宋"/>
          <w:b w:val="0"/>
          <w:bCs w:val="0"/>
          <w:sz w:val="24"/>
          <w:szCs w:val="24"/>
        </w:rPr>
      </w:pPr>
      <w:r>
        <w:rPr>
          <w:rFonts w:hint="default" w:ascii="仿宋" w:hAnsi="仿宋" w:eastAsia="仿宋" w:cs="仿宋"/>
          <w:b w:val="0"/>
          <w:bCs w:val="0"/>
          <w:sz w:val="24"/>
          <w:szCs w:val="24"/>
        </w:rPr>
        <w:t>2、具有良好的商业信誉和健全的财务会计制度</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rPr>
        <w:t>提供2024年度财务审计报告或开标前</w:t>
      </w:r>
      <w:r>
        <w:rPr>
          <w:rFonts w:hint="default" w:ascii="仿宋" w:hAnsi="仿宋" w:eastAsia="仿宋" w:cs="仿宋"/>
          <w:b w:val="0"/>
          <w:bCs w:val="0"/>
          <w:sz w:val="24"/>
          <w:szCs w:val="24"/>
          <w:lang w:eastAsia="zh-CN"/>
        </w:rPr>
        <w:t>12</w:t>
      </w:r>
      <w:r>
        <w:rPr>
          <w:rFonts w:hint="default" w:ascii="仿宋" w:hAnsi="仿宋" w:eastAsia="仿宋" w:cs="仿宋"/>
          <w:b w:val="0"/>
          <w:bCs w:val="0"/>
          <w:sz w:val="24"/>
          <w:szCs w:val="24"/>
        </w:rPr>
        <w:t>个月内银行出具的资信证明或财政部门认可的政府采购专业担保机构出具的投标担保函</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rPr>
        <w:t>；</w:t>
      </w:r>
    </w:p>
    <w:p w14:paraId="1F25CC7B">
      <w:pPr>
        <w:spacing w:line="360" w:lineRule="auto"/>
        <w:rPr>
          <w:rFonts w:hint="default" w:ascii="仿宋" w:hAnsi="仿宋" w:eastAsia="仿宋" w:cs="仿宋"/>
          <w:b w:val="0"/>
          <w:bCs w:val="0"/>
          <w:sz w:val="24"/>
          <w:szCs w:val="24"/>
        </w:rPr>
      </w:pPr>
      <w:r>
        <w:rPr>
          <w:rFonts w:hint="default" w:ascii="仿宋" w:hAnsi="仿宋" w:eastAsia="仿宋" w:cs="仿宋"/>
          <w:b w:val="0"/>
          <w:bCs w:val="0"/>
          <w:sz w:val="24"/>
          <w:szCs w:val="24"/>
        </w:rPr>
        <w:t>3、具有履行合同所必需的设备和专业技术能力的书面声明（格式详见附件）；</w:t>
      </w:r>
    </w:p>
    <w:p w14:paraId="55F3F78B">
      <w:pPr>
        <w:spacing w:line="360" w:lineRule="auto"/>
        <w:rPr>
          <w:rFonts w:hint="default" w:ascii="仿宋" w:hAnsi="仿宋" w:eastAsia="仿宋" w:cs="仿宋"/>
          <w:b w:val="0"/>
          <w:bCs w:val="0"/>
          <w:sz w:val="24"/>
          <w:szCs w:val="24"/>
        </w:rPr>
      </w:pPr>
      <w:r>
        <w:rPr>
          <w:rFonts w:hint="default" w:ascii="仿宋" w:hAnsi="仿宋" w:eastAsia="仿宋" w:cs="仿宋"/>
          <w:b w:val="0"/>
          <w:bCs w:val="0"/>
          <w:sz w:val="24"/>
          <w:szCs w:val="24"/>
        </w:rPr>
        <w:t>4、</w:t>
      </w:r>
      <w:r>
        <w:rPr>
          <w:rFonts w:hint="default" w:ascii="仿宋" w:hAnsi="仿宋" w:eastAsia="仿宋" w:cs="仿宋"/>
          <w:b w:val="0"/>
          <w:bCs w:val="0"/>
          <w:sz w:val="24"/>
          <w:szCs w:val="24"/>
          <w:lang w:eastAsia="zh-CN"/>
        </w:rPr>
        <w:t>具</w:t>
      </w:r>
      <w:r>
        <w:rPr>
          <w:rFonts w:hint="default" w:ascii="仿宋" w:hAnsi="仿宋" w:eastAsia="仿宋" w:cs="仿宋"/>
          <w:b w:val="0"/>
          <w:bCs w:val="0"/>
          <w:sz w:val="24"/>
          <w:szCs w:val="24"/>
        </w:rPr>
        <w:t>有依法缴纳税收和社会保障资金的良好记录</w:t>
      </w:r>
      <w:r>
        <w:rPr>
          <w:rFonts w:hint="default" w:ascii="仿宋" w:hAnsi="仿宋" w:eastAsia="仿宋" w:cs="仿宋"/>
          <w:b w:val="0"/>
          <w:bCs w:val="0"/>
          <w:sz w:val="24"/>
          <w:szCs w:val="24"/>
          <w:lang w:eastAsia="zh-CN"/>
        </w:rPr>
        <w:t>（提供开标前12个月内任一月份的社保和缴纳税收的证明，依法不需要缴纳社会保障资金、免税或无须缴纳税款的供应商，应提供相关证明文件)</w:t>
      </w:r>
      <w:r>
        <w:rPr>
          <w:rFonts w:hint="default" w:ascii="仿宋" w:hAnsi="仿宋" w:eastAsia="仿宋" w:cs="仿宋"/>
          <w:b w:val="0"/>
          <w:bCs w:val="0"/>
          <w:sz w:val="24"/>
          <w:szCs w:val="24"/>
        </w:rPr>
        <w:t xml:space="preserve"> </w:t>
      </w:r>
    </w:p>
    <w:p w14:paraId="623601CE">
      <w:pPr>
        <w:spacing w:line="360" w:lineRule="auto"/>
        <w:rPr>
          <w:rFonts w:hint="default" w:ascii="仿宋" w:hAnsi="仿宋" w:eastAsia="仿宋" w:cs="仿宋"/>
          <w:b w:val="0"/>
          <w:bCs w:val="0"/>
          <w:sz w:val="24"/>
          <w:szCs w:val="24"/>
        </w:rPr>
      </w:pPr>
      <w:r>
        <w:rPr>
          <w:rFonts w:hint="default" w:ascii="仿宋" w:hAnsi="仿宋" w:eastAsia="仿宋" w:cs="仿宋"/>
          <w:b w:val="0"/>
          <w:bCs w:val="0"/>
          <w:sz w:val="24"/>
          <w:szCs w:val="24"/>
        </w:rPr>
        <w:t>5、参加政府采购活动前 3 年内在经营活动中没有重大违法记录的书面声明（格式详见附件）。</w:t>
      </w:r>
    </w:p>
    <w:p w14:paraId="4A5589D1">
      <w:pPr>
        <w:spacing w:line="360" w:lineRule="auto"/>
        <w:rPr>
          <w:rFonts w:ascii="仿宋" w:hAnsi="仿宋" w:eastAsia="仿宋" w:cs="仿宋"/>
          <w:b/>
          <w:bCs/>
          <w:sz w:val="24"/>
          <w:szCs w:val="24"/>
        </w:rPr>
      </w:pPr>
    </w:p>
    <w:p w14:paraId="5DA02AF4">
      <w:pPr>
        <w:widowControl/>
        <w:jc w:val="left"/>
        <w:rPr>
          <w:rFonts w:ascii="仿宋" w:hAnsi="仿宋" w:eastAsia="仿宋"/>
          <w:kern w:val="1"/>
          <w:sz w:val="24"/>
        </w:rPr>
      </w:pPr>
      <w:bookmarkStart w:id="9" w:name="_Toc85019469"/>
      <w:r>
        <w:rPr>
          <w:rFonts w:ascii="仿宋" w:hAnsi="仿宋" w:eastAsia="仿宋"/>
          <w:kern w:val="1"/>
        </w:rPr>
        <w:br w:type="page"/>
      </w:r>
    </w:p>
    <w:bookmarkEnd w:id="9"/>
    <w:p w14:paraId="475897B8">
      <w:pPr>
        <w:pStyle w:val="4"/>
        <w:spacing w:line="360" w:lineRule="auto"/>
        <w:rPr>
          <w:rFonts w:ascii="仿宋" w:hAnsi="仿宋" w:eastAsia="仿宋"/>
          <w:bCs/>
          <w:iCs/>
          <w:sz w:val="24"/>
          <w:szCs w:val="24"/>
        </w:rPr>
      </w:pP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20EB30D5">
      <w:pPr>
        <w:widowControl/>
        <w:jc w:val="left"/>
        <w:rPr>
          <w:rFonts w:ascii="仿宋" w:hAnsi="仿宋" w:eastAsia="仿宋"/>
          <w:bCs/>
          <w:iCs/>
          <w:sz w:val="24"/>
          <w:szCs w:val="24"/>
        </w:rPr>
      </w:pPr>
      <w:r>
        <w:rPr>
          <w:rFonts w:ascii="仿宋" w:hAnsi="仿宋" w:eastAsia="仿宋"/>
          <w:b/>
          <w:bCs/>
          <w:iCs/>
          <w:sz w:val="24"/>
          <w:szCs w:val="24"/>
        </w:rPr>
        <w:br w:type="page"/>
      </w:r>
    </w:p>
    <w:p w14:paraId="6EFAB9CF">
      <w:pPr>
        <w:pStyle w:val="4"/>
        <w:spacing w:line="360" w:lineRule="auto"/>
        <w:rPr>
          <w:rFonts w:hint="eastAsia" w:ascii="仿宋" w:hAnsi="仿宋" w:eastAsia="仿宋" w:cs="Times New Roman"/>
          <w:b/>
          <w:bCs w:val="0"/>
          <w:iCs/>
          <w:sz w:val="24"/>
          <w:szCs w:val="24"/>
          <w:lang w:eastAsia="zh-CN"/>
        </w:rPr>
      </w:pPr>
      <w:bookmarkStart w:id="10" w:name="_Toc102769686"/>
      <w:bookmarkStart w:id="11" w:name="_Toc428"/>
      <w:bookmarkStart w:id="12" w:name="_Toc85019471"/>
      <w:r>
        <w:rPr>
          <w:rFonts w:hint="eastAsia" w:ascii="仿宋" w:hAnsi="仿宋" w:eastAsia="仿宋" w:cs="Times New Roman"/>
          <w:b/>
          <w:bCs w:val="0"/>
          <w:iCs/>
          <w:sz w:val="24"/>
          <w:szCs w:val="24"/>
          <w:lang w:eastAsia="zh-CN"/>
        </w:rPr>
        <w:t>具有良好的商业信誉和健全的财务会计制度（提供2024年度财务审计报告或开标前12个月内银行出具的资信证明或财政部门认可的政府采购专业担保机构出具的投标担保函）</w:t>
      </w:r>
    </w:p>
    <w:p w14:paraId="2DBC5B6D">
      <w:pPr>
        <w:bidi w:val="0"/>
        <w:rPr>
          <w:rFonts w:ascii="仿宋" w:hAnsi="仿宋" w:eastAsia="仿宋"/>
          <w:bCs/>
          <w:iCs/>
          <w:szCs w:val="24"/>
        </w:rPr>
      </w:pPr>
      <w:r>
        <w:br w:type="page"/>
      </w:r>
    </w:p>
    <w:p w14:paraId="5E9CCC43">
      <w:pPr>
        <w:pStyle w:val="4"/>
        <w:spacing w:line="240" w:lineRule="auto"/>
        <w:rPr>
          <w:rFonts w:ascii="仿宋" w:hAnsi="仿宋" w:eastAsia="仿宋"/>
          <w:b/>
          <w:bCs w:val="0"/>
          <w:iCs/>
          <w:sz w:val="24"/>
          <w:szCs w:val="24"/>
        </w:rPr>
      </w:pPr>
      <w:r>
        <w:rPr>
          <w:rFonts w:hint="eastAsia" w:ascii="仿宋" w:hAnsi="仿宋" w:eastAsia="仿宋" w:cs="仿宋"/>
          <w:sz w:val="24"/>
          <w:szCs w:val="24"/>
        </w:rPr>
        <w:t>具有履行合同所必需的设备和专业技术能力的书面声明（格式详见附件）</w:t>
      </w:r>
    </w:p>
    <w:p w14:paraId="16BBFED6">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F92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4875DADF">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40EC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37DF20C">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3FCD4702">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01030CBD">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1D41D597">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28B0170C">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0F28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69DB792F">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3B579E0B">
            <w:pPr>
              <w:spacing w:line="360" w:lineRule="auto"/>
              <w:jc w:val="center"/>
              <w:rPr>
                <w:rFonts w:ascii="仿宋" w:hAnsi="仿宋" w:eastAsia="仿宋" w:cs="仿宋"/>
                <w:sz w:val="24"/>
              </w:rPr>
            </w:pPr>
          </w:p>
        </w:tc>
        <w:tc>
          <w:tcPr>
            <w:tcW w:w="2268" w:type="dxa"/>
            <w:vAlign w:val="center"/>
          </w:tcPr>
          <w:p w14:paraId="536F9848">
            <w:pPr>
              <w:spacing w:line="360" w:lineRule="auto"/>
              <w:jc w:val="center"/>
              <w:rPr>
                <w:rFonts w:ascii="仿宋" w:hAnsi="仿宋" w:eastAsia="仿宋" w:cs="仿宋"/>
                <w:sz w:val="24"/>
              </w:rPr>
            </w:pPr>
          </w:p>
        </w:tc>
        <w:tc>
          <w:tcPr>
            <w:tcW w:w="851" w:type="dxa"/>
            <w:vAlign w:val="center"/>
          </w:tcPr>
          <w:p w14:paraId="6121D4C7">
            <w:pPr>
              <w:spacing w:line="360" w:lineRule="auto"/>
              <w:jc w:val="center"/>
              <w:rPr>
                <w:rFonts w:ascii="仿宋" w:hAnsi="仿宋" w:eastAsia="仿宋" w:cs="仿宋"/>
                <w:sz w:val="24"/>
              </w:rPr>
            </w:pPr>
          </w:p>
        </w:tc>
        <w:tc>
          <w:tcPr>
            <w:tcW w:w="2126" w:type="dxa"/>
            <w:vAlign w:val="center"/>
          </w:tcPr>
          <w:p w14:paraId="1EFBA11D">
            <w:pPr>
              <w:spacing w:line="360" w:lineRule="auto"/>
              <w:jc w:val="center"/>
              <w:rPr>
                <w:rFonts w:ascii="仿宋" w:hAnsi="仿宋" w:eastAsia="仿宋" w:cs="仿宋"/>
                <w:sz w:val="24"/>
              </w:rPr>
            </w:pPr>
          </w:p>
        </w:tc>
      </w:tr>
      <w:tr w14:paraId="6508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0544B309">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200A7973">
            <w:pPr>
              <w:spacing w:line="360" w:lineRule="auto"/>
              <w:jc w:val="center"/>
              <w:rPr>
                <w:rFonts w:ascii="仿宋" w:hAnsi="仿宋" w:eastAsia="仿宋" w:cs="仿宋"/>
                <w:sz w:val="24"/>
              </w:rPr>
            </w:pPr>
          </w:p>
        </w:tc>
        <w:tc>
          <w:tcPr>
            <w:tcW w:w="2268" w:type="dxa"/>
            <w:vAlign w:val="center"/>
          </w:tcPr>
          <w:p w14:paraId="020935C2">
            <w:pPr>
              <w:spacing w:line="360" w:lineRule="auto"/>
              <w:jc w:val="center"/>
              <w:rPr>
                <w:rFonts w:ascii="仿宋" w:hAnsi="仿宋" w:eastAsia="仿宋" w:cs="仿宋"/>
                <w:sz w:val="24"/>
              </w:rPr>
            </w:pPr>
          </w:p>
        </w:tc>
        <w:tc>
          <w:tcPr>
            <w:tcW w:w="851" w:type="dxa"/>
            <w:vAlign w:val="center"/>
          </w:tcPr>
          <w:p w14:paraId="7C595F7B">
            <w:pPr>
              <w:spacing w:line="360" w:lineRule="auto"/>
              <w:jc w:val="center"/>
              <w:rPr>
                <w:rFonts w:ascii="仿宋" w:hAnsi="仿宋" w:eastAsia="仿宋" w:cs="仿宋"/>
                <w:sz w:val="24"/>
              </w:rPr>
            </w:pPr>
          </w:p>
        </w:tc>
        <w:tc>
          <w:tcPr>
            <w:tcW w:w="2126" w:type="dxa"/>
            <w:vAlign w:val="center"/>
          </w:tcPr>
          <w:p w14:paraId="6828A1A2">
            <w:pPr>
              <w:spacing w:line="360" w:lineRule="auto"/>
              <w:jc w:val="center"/>
              <w:rPr>
                <w:rFonts w:ascii="仿宋" w:hAnsi="仿宋" w:eastAsia="仿宋" w:cs="仿宋"/>
                <w:sz w:val="24"/>
              </w:rPr>
            </w:pPr>
          </w:p>
        </w:tc>
      </w:tr>
      <w:tr w14:paraId="77F3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2A22A78F">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55EB5901">
            <w:pPr>
              <w:spacing w:line="360" w:lineRule="auto"/>
              <w:jc w:val="center"/>
              <w:rPr>
                <w:rFonts w:ascii="仿宋" w:hAnsi="仿宋" w:eastAsia="仿宋" w:cs="仿宋"/>
                <w:sz w:val="24"/>
              </w:rPr>
            </w:pPr>
          </w:p>
        </w:tc>
        <w:tc>
          <w:tcPr>
            <w:tcW w:w="2268" w:type="dxa"/>
            <w:vAlign w:val="center"/>
          </w:tcPr>
          <w:p w14:paraId="53FB4E0A">
            <w:pPr>
              <w:spacing w:line="360" w:lineRule="auto"/>
              <w:jc w:val="center"/>
              <w:rPr>
                <w:rFonts w:ascii="仿宋" w:hAnsi="仿宋" w:eastAsia="仿宋" w:cs="仿宋"/>
                <w:sz w:val="24"/>
              </w:rPr>
            </w:pPr>
          </w:p>
        </w:tc>
        <w:tc>
          <w:tcPr>
            <w:tcW w:w="851" w:type="dxa"/>
            <w:vAlign w:val="center"/>
          </w:tcPr>
          <w:p w14:paraId="2A2FF50E">
            <w:pPr>
              <w:spacing w:line="360" w:lineRule="auto"/>
              <w:jc w:val="center"/>
              <w:rPr>
                <w:rFonts w:ascii="仿宋" w:hAnsi="仿宋" w:eastAsia="仿宋" w:cs="仿宋"/>
                <w:sz w:val="24"/>
              </w:rPr>
            </w:pPr>
          </w:p>
        </w:tc>
        <w:tc>
          <w:tcPr>
            <w:tcW w:w="2126" w:type="dxa"/>
            <w:vAlign w:val="center"/>
          </w:tcPr>
          <w:p w14:paraId="1CA96710">
            <w:pPr>
              <w:spacing w:line="360" w:lineRule="auto"/>
              <w:jc w:val="center"/>
              <w:rPr>
                <w:rFonts w:ascii="仿宋" w:hAnsi="仿宋" w:eastAsia="仿宋" w:cs="仿宋"/>
                <w:sz w:val="24"/>
              </w:rPr>
            </w:pPr>
          </w:p>
        </w:tc>
      </w:tr>
      <w:tr w14:paraId="055A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250D4C52">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7765B4BB">
            <w:pPr>
              <w:spacing w:line="360" w:lineRule="auto"/>
              <w:jc w:val="center"/>
              <w:rPr>
                <w:rFonts w:ascii="仿宋" w:hAnsi="仿宋" w:eastAsia="仿宋" w:cs="仿宋"/>
                <w:sz w:val="24"/>
              </w:rPr>
            </w:pPr>
          </w:p>
        </w:tc>
        <w:tc>
          <w:tcPr>
            <w:tcW w:w="2268" w:type="dxa"/>
            <w:vAlign w:val="center"/>
          </w:tcPr>
          <w:p w14:paraId="41E35D2B">
            <w:pPr>
              <w:spacing w:line="360" w:lineRule="auto"/>
              <w:jc w:val="center"/>
              <w:rPr>
                <w:rFonts w:ascii="仿宋" w:hAnsi="仿宋" w:eastAsia="仿宋" w:cs="仿宋"/>
                <w:sz w:val="24"/>
              </w:rPr>
            </w:pPr>
          </w:p>
        </w:tc>
        <w:tc>
          <w:tcPr>
            <w:tcW w:w="851" w:type="dxa"/>
            <w:vAlign w:val="center"/>
          </w:tcPr>
          <w:p w14:paraId="4FB14481">
            <w:pPr>
              <w:spacing w:line="360" w:lineRule="auto"/>
              <w:jc w:val="center"/>
              <w:rPr>
                <w:rFonts w:ascii="仿宋" w:hAnsi="仿宋" w:eastAsia="仿宋" w:cs="仿宋"/>
                <w:sz w:val="24"/>
              </w:rPr>
            </w:pPr>
          </w:p>
        </w:tc>
        <w:tc>
          <w:tcPr>
            <w:tcW w:w="2126" w:type="dxa"/>
            <w:vAlign w:val="center"/>
          </w:tcPr>
          <w:p w14:paraId="2AE2405B">
            <w:pPr>
              <w:spacing w:line="360" w:lineRule="auto"/>
              <w:jc w:val="center"/>
              <w:rPr>
                <w:rFonts w:ascii="仿宋" w:hAnsi="仿宋" w:eastAsia="仿宋" w:cs="仿宋"/>
                <w:sz w:val="24"/>
              </w:rPr>
            </w:pPr>
          </w:p>
        </w:tc>
      </w:tr>
    </w:tbl>
    <w:p w14:paraId="5161D94A">
      <w:pPr>
        <w:spacing w:before="240" w:beforeLines="100" w:after="120" w:afterLines="50" w:line="360" w:lineRule="auto"/>
        <w:ind w:firstLine="496" w:firstLineChars="200"/>
        <w:rPr>
          <w:rFonts w:ascii="仿宋" w:hAnsi="仿宋" w:eastAsia="仿宋" w:cs="仿宋"/>
          <w:spacing w:val="4"/>
          <w:sz w:val="24"/>
        </w:rPr>
      </w:pPr>
    </w:p>
    <w:p w14:paraId="29BC8762">
      <w:pPr>
        <w:pStyle w:val="6"/>
        <w:rPr>
          <w:rFonts w:ascii="仿宋" w:hAnsi="仿宋" w:eastAsia="仿宋" w:cs="仿宋"/>
          <w:spacing w:val="4"/>
          <w:sz w:val="24"/>
        </w:rPr>
      </w:pPr>
    </w:p>
    <w:p w14:paraId="1BD0F6F2">
      <w:pPr>
        <w:rPr>
          <w:rFonts w:ascii="仿宋" w:hAnsi="仿宋" w:eastAsia="仿宋"/>
        </w:rPr>
      </w:pPr>
    </w:p>
    <w:p w14:paraId="78619D63">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7C8823EF">
      <w:pPr>
        <w:pStyle w:val="6"/>
        <w:ind w:firstLine="3373" w:firstLineChars="1400"/>
        <w:rPr>
          <w:rFonts w:ascii="仿宋" w:hAnsi="仿宋" w:eastAsia="仿宋"/>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B641A9E">
      <w:pPr>
        <w:widowControl/>
        <w:jc w:val="left"/>
        <w:rPr>
          <w:rFonts w:ascii="仿宋" w:hAnsi="仿宋" w:eastAsia="仿宋"/>
          <w:b/>
          <w:bCs/>
          <w:sz w:val="24"/>
          <w:szCs w:val="28"/>
        </w:rPr>
      </w:pPr>
      <w:r>
        <w:rPr>
          <w:rFonts w:ascii="仿宋" w:hAnsi="仿宋" w:eastAsia="仿宋"/>
          <w:sz w:val="24"/>
        </w:rPr>
        <w:br w:type="page"/>
      </w:r>
    </w:p>
    <w:bookmarkEnd w:id="10"/>
    <w:bookmarkEnd w:id="11"/>
    <w:bookmarkEnd w:id="12"/>
    <w:p w14:paraId="6D91B9C2">
      <w:pPr>
        <w:pStyle w:val="4"/>
        <w:spacing w:line="360" w:lineRule="auto"/>
        <w:rPr>
          <w:rFonts w:ascii="仿宋" w:hAnsi="仿宋" w:eastAsia="仿宋"/>
          <w:bCs/>
          <w:iCs/>
          <w:sz w:val="24"/>
          <w:szCs w:val="24"/>
        </w:rPr>
      </w:pPr>
      <w:bookmarkStart w:id="15" w:name="_GoBack"/>
      <w:bookmarkEnd w:id="15"/>
      <w:bookmarkStart w:id="13" w:name="_Toc85019473"/>
      <w:bookmarkStart w:id="14" w:name="_Toc85019472"/>
      <w:r>
        <w:rPr>
          <w:rFonts w:hint="eastAsia" w:ascii="仿宋" w:hAnsi="仿宋" w:eastAsia="仿宋" w:cs="仿宋"/>
          <w:sz w:val="24"/>
          <w:szCs w:val="24"/>
        </w:rPr>
        <w:t>具有依法缴纳税收和社会保障资金的良好记录</w:t>
      </w:r>
      <w:r>
        <w:rPr>
          <w:rFonts w:hint="eastAsia" w:ascii="仿宋" w:hAnsi="仿宋" w:eastAsia="仿宋" w:cs="仿宋"/>
          <w:sz w:val="24"/>
          <w:szCs w:val="24"/>
          <w:lang w:eastAsia="zh-CN"/>
        </w:rPr>
        <w:t>（提供开标前 12 个月内任一月份的社保和缴纳税收的证明，税种须包含增值税或企业所得税，依法不需要缴纳社会保障资金、免税或无须缴纳税款的供应商，应提供相关证明文件)</w:t>
      </w:r>
    </w:p>
    <w:p w14:paraId="3D22C4CF">
      <w:pPr>
        <w:rPr>
          <w:rFonts w:ascii="仿宋" w:hAnsi="仿宋" w:eastAsia="仿宋"/>
        </w:rPr>
      </w:pPr>
    </w:p>
    <w:bookmarkEnd w:id="13"/>
    <w:p w14:paraId="02DB0099">
      <w:pPr>
        <w:pStyle w:val="4"/>
        <w:spacing w:line="240" w:lineRule="auto"/>
        <w:outlineLvl w:val="2"/>
        <w:rPr>
          <w:rFonts w:ascii="仿宋" w:hAnsi="仿宋" w:eastAsia="仿宋"/>
          <w:b w:val="0"/>
          <w:bCs/>
          <w:iCs/>
          <w:sz w:val="24"/>
          <w:szCs w:val="24"/>
        </w:rPr>
      </w:pPr>
      <w:r>
        <w:rPr>
          <w:rFonts w:ascii="仿宋" w:hAnsi="仿宋" w:eastAsia="仿宋"/>
        </w:rPr>
        <w:br w:type="page"/>
      </w:r>
      <w:bookmarkEnd w:id="14"/>
      <w:r>
        <w:rPr>
          <w:rFonts w:hint="eastAsia" w:ascii="仿宋" w:hAnsi="仿宋" w:eastAsia="仿宋" w:cs="仿宋"/>
          <w:sz w:val="24"/>
          <w:szCs w:val="24"/>
        </w:rPr>
        <w:t>参加政府采购活动前 3 年内在经营活动中没有重大违法记录的书面声明（格式详见附件）</w:t>
      </w:r>
    </w:p>
    <w:p w14:paraId="559364CB">
      <w:pPr>
        <w:pStyle w:val="8"/>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w:t>
      </w:r>
      <w:r>
        <w:rPr>
          <w:rFonts w:hint="eastAsia" w:ascii="仿宋" w:hAnsi="仿宋" w:eastAsia="仿宋" w:cs="仿宋"/>
          <w:szCs w:val="24"/>
          <w:shd w:val="clear" w:color="auto" w:fill="FFFFFF"/>
          <w:lang w:val="en-US" w:eastAsia="zh-CN"/>
        </w:rPr>
        <w:t>采购人</w:t>
      </w:r>
      <w:r>
        <w:rPr>
          <w:rFonts w:hint="eastAsia" w:ascii="仿宋" w:hAnsi="仿宋" w:eastAsia="仿宋" w:cs="仿宋"/>
          <w:szCs w:val="24"/>
          <w:shd w:val="clear" w:color="auto" w:fill="FFFFFF"/>
          <w:lang w:eastAsia="zh-CN"/>
        </w:rPr>
        <w:t>）</w:t>
      </w:r>
      <w:r>
        <w:rPr>
          <w:rFonts w:hint="eastAsia" w:ascii="仿宋" w:hAnsi="仿宋" w:eastAsia="仿宋" w:cs="仿宋"/>
          <w:szCs w:val="24"/>
          <w:shd w:val="clear" w:color="auto" w:fill="FFFFFF"/>
        </w:rPr>
        <w:t>：</w:t>
      </w:r>
    </w:p>
    <w:p w14:paraId="3EFCC2AA">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0B523E16">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5A561CE">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232254AA">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EDC2AB0">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61F47A09">
      <w:pPr>
        <w:pStyle w:val="8"/>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72638ADD">
      <w:pPr>
        <w:pStyle w:val="8"/>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BDEC15D">
      <w:pPr>
        <w:pStyle w:val="8"/>
        <w:wordWrap w:val="0"/>
        <w:spacing w:before="0" w:beforeAutospacing="0" w:after="0" w:afterAutospacing="0" w:line="360" w:lineRule="auto"/>
        <w:ind w:firstLine="420"/>
        <w:rPr>
          <w:rFonts w:ascii="仿宋" w:hAnsi="仿宋" w:eastAsia="仿宋" w:cs="仿宋"/>
          <w:szCs w:val="24"/>
          <w:shd w:val="clear" w:color="auto" w:fill="FFFFFF"/>
        </w:rPr>
      </w:pPr>
    </w:p>
    <w:p w14:paraId="45082F72">
      <w:pPr>
        <w:pStyle w:val="8"/>
        <w:wordWrap w:val="0"/>
        <w:spacing w:before="0" w:beforeAutospacing="0" w:after="0" w:afterAutospacing="0" w:line="360" w:lineRule="auto"/>
        <w:ind w:firstLine="420"/>
        <w:rPr>
          <w:rFonts w:ascii="仿宋" w:hAnsi="仿宋" w:eastAsia="仿宋" w:cs="仿宋"/>
          <w:szCs w:val="24"/>
          <w:shd w:val="clear" w:color="auto" w:fill="FFFFFF"/>
        </w:rPr>
      </w:pPr>
    </w:p>
    <w:p w14:paraId="6827FEF3">
      <w:pPr>
        <w:spacing w:line="48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val="en-US" w:eastAsia="zh-CN"/>
        </w:rPr>
        <w:t>名称</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u w:val="single"/>
        </w:rPr>
        <w:t xml:space="preserve">            （公章）             </w:t>
      </w:r>
    </w:p>
    <w:p w14:paraId="535BEFD2">
      <w:pPr>
        <w:ind w:firstLine="3373" w:firstLineChars="1400"/>
        <w:rPr>
          <w:rFonts w:ascii="仿宋" w:hAnsi="仿宋" w:eastAsia="仿宋"/>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bookmarkEnd w:id="3"/>
    <w:bookmarkEnd w:id="4"/>
    <w:bookmarkEnd w:id="5"/>
    <w:bookmarkEnd w:id="6"/>
    <w:bookmarkEnd w:id="7"/>
    <w:bookmarkEnd w:id="8"/>
    <w:p w14:paraId="5A70A3A4">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0BBF3F9D"/>
    <w:rsid w:val="0FB779CF"/>
    <w:rsid w:val="1FF60EFA"/>
    <w:rsid w:val="2C4F6174"/>
    <w:rsid w:val="2D86058A"/>
    <w:rsid w:val="348E1E96"/>
    <w:rsid w:val="3C6C1445"/>
    <w:rsid w:val="486F273F"/>
    <w:rsid w:val="6CC63243"/>
    <w:rsid w:val="73A9504B"/>
    <w:rsid w:val="74F91D42"/>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paragraph" w:styleId="5">
    <w:name w:val="heading 4"/>
    <w:basedOn w:val="1"/>
    <w:next w:val="1"/>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next w:val="5"/>
    <w:qFormat/>
    <w:uiPriority w:val="0"/>
    <w:rPr>
      <w:b/>
      <w:sz w:val="28"/>
    </w:rPr>
  </w:style>
  <w:style w:type="paragraph" w:styleId="7">
    <w:name w:val="toc 2"/>
    <w:basedOn w:val="1"/>
    <w:next w:val="1"/>
    <w:qFormat/>
    <w:uiPriority w:val="0"/>
    <w:pPr>
      <w:keepNext w:val="0"/>
      <w:keepLines w:val="0"/>
      <w:spacing w:before="0" w:beforeLines="0" w:after="0" w:afterLines="0" w:line="240" w:lineRule="auto"/>
      <w:ind w:left="210"/>
      <w:jc w:val="left"/>
      <w:outlineLvl w:val="9"/>
    </w:pPr>
    <w:rPr>
      <w:rFonts w:ascii="Times New Roman" w:hAnsi="Times New Roman" w:eastAsia="宋体"/>
      <w:b/>
      <w:bCs/>
      <w:smallCaps/>
      <w:sz w:val="20"/>
      <w:szCs w:val="20"/>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1204</Words>
  <Characters>1213</Characters>
  <Lines>0</Lines>
  <Paragraphs>0</Paragraphs>
  <TotalTime>0</TotalTime>
  <ScaleCrop>false</ScaleCrop>
  <LinksUpToDate>false</LinksUpToDate>
  <CharactersWithSpaces>1534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2025-10-27T09:58:01Z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