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版本号：SXXDDL-【2025】05020251120001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结麻所实验室检测耗材及试剂采购(二次)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SXXDDL-【2025】050</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结麻所实验室检测耗材及试剂采购(二次)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SXXDDL-【2025】050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结麻所实验室检测耗材及试剂采购(二次)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结麻所实验室检测耗材及试剂采购，共分为2个包，采购包1：实验室检测耗材及试剂，拟采购超声分散仪比浊管、超声分散仪标准浊度管、一次性吸管、前处理管、50ml尖底离心管、移液器枪头、8道手动排移液器、12道手动排移液器、一次性无菌加样槽、10ul无菌接种环、分枝杆菌鉴定试剂盒（荧光PCR熔解曲线法）；采购包2：实验室检测试剂，拟采购罗氏药敏培养基、微孔药敏板、液培前处理消化液、药敏及添加剂、液体培养管及营养抑菌剂，具体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参会人员身份证明：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p>
      <w:pPr>
        <w:pStyle w:val="null3"/>
      </w:pPr>
      <w:r>
        <w:rPr>
          <w:rFonts w:ascii="仿宋_GB2312" w:hAnsi="仿宋_GB2312" w:cs="仿宋_GB2312" w:eastAsia="仿宋_GB2312"/>
        </w:rPr>
        <w:t>2、信用记录查询：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p>
      <w:pPr>
        <w:pStyle w:val="null3"/>
      </w:pPr>
      <w:r>
        <w:rPr>
          <w:rFonts w:ascii="仿宋_GB2312" w:hAnsi="仿宋_GB2312" w:cs="仿宋_GB2312" w:eastAsia="仿宋_GB2312"/>
        </w:rPr>
        <w:t>3、投标人资质：投标人为代理商的应出具医疗器械经营许可证或医疗器械经营备案凭证和制造厂商的医疗器械生产许可证或医疗器械生产备案凭证（投标产品须在其经营范围内）；投标人为制造厂商的应出具医疗器械生产许可证或医疗器械生产备案凭证（投标产品须在其经营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参会人员身份证明：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p>
      <w:pPr>
        <w:pStyle w:val="null3"/>
      </w:pPr>
      <w:r>
        <w:rPr>
          <w:rFonts w:ascii="仿宋_GB2312" w:hAnsi="仿宋_GB2312" w:cs="仿宋_GB2312" w:eastAsia="仿宋_GB2312"/>
        </w:rPr>
        <w:t>2、信用记录查询：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p>
      <w:pPr>
        <w:pStyle w:val="null3"/>
      </w:pPr>
      <w:r>
        <w:rPr>
          <w:rFonts w:ascii="仿宋_GB2312" w:hAnsi="仿宋_GB2312" w:cs="仿宋_GB2312" w:eastAsia="仿宋_GB2312"/>
        </w:rPr>
        <w:t>3、投标人资质：投标人为代理商的应出具医疗器械经营许可证或医疗器械经营备案凭证和制造厂商的医疗器械生产许可证或医疗器械生产备案凭证（投标产品须在其经营范围内）；投标人为制造厂商的应出具医疗器械生产许可证或医疗器械生产备案凭证（投标产品须在其经营范围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郭佳佳、张重虎、赵佳欢、曹静、罗雪绒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029-88092915、15353708657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采购包1：123,100.00元</w:t>
            </w:r>
          </w:p>
          <w:p>
            <w:pPr>
              <w:pStyle w:val="null3"/>
            </w:pPr>
            <w:r>
              <w:rPr>
                <w:rFonts w:ascii="仿宋_GB2312" w:hAnsi="仿宋_GB2312" w:cs="仿宋_GB2312" w:eastAsia="仿宋_GB2312"/>
              </w:rPr>
              <w:t>采购包2：517,400.00元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gt;的通知》（计价格[2002]1980号）及发改办价格[2003]857号规定的标准收取招标代理服务费，由中标供应商在领取中标通知书前进行支付。代理服务费支付信息如下： 银行户名：陕西希地工程项目管理有限公司 开户银行：建行西安友谊东路支行 账 号：61001905400052501896 缴纳时注明：SXXDDL-【2025】050（包 ）代理服务费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联系人：郭佳佳、张重虎、赵佳欢、曹静、罗雪绒</w:t>
      </w:r>
    </w:p>
    <w:p>
      <w:pPr>
        <w:pStyle w:val="null3"/>
      </w:pPr>
      <w:r>
        <w:rPr>
          <w:rFonts w:ascii="仿宋_GB2312" w:hAnsi="仿宋_GB2312" w:cs="仿宋_GB2312" w:eastAsia="仿宋_GB2312"/>
        </w:rPr>
        <w:t>联系电话：029-88092915、15353708657</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结麻所实验室检测耗材及试剂采购，共分为2个包，采购包1：实验室检测耗材及试剂，拟采购超声分散仪比浊管、超声分散仪标准浊度管、一次性吸管、前处理管、50ml尖底离心管、移液器枪头、8道手动排移液器、12道手动排移液器、一次性无菌加样槽、10ul无菌接种环、分枝杆菌鉴定试剂盒（荧光PCR熔解曲线法）；采购包2：实验室检测试剂，拟采购罗氏药敏培养基、微孔药敏板、液培前处理消化液、药敏及添加剂、液体培养管及营养抑菌剂，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123,100.00</w:t>
      </w:r>
    </w:p>
    <w:p>
      <w:pPr>
        <w:pStyle w:val="null3"/>
      </w:pPr>
      <w:r>
        <w:rPr>
          <w:rFonts w:ascii="仿宋_GB2312" w:hAnsi="仿宋_GB2312" w:cs="仿宋_GB2312" w:eastAsia="仿宋_GB2312"/>
        </w:rPr>
        <w:t>采购包最高限价（元）: 123,100.00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实验室检测耗材及试剂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123,100.00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517,400.00</w:t>
      </w:r>
    </w:p>
    <w:p>
      <w:pPr>
        <w:pStyle w:val="null3"/>
      </w:pPr>
      <w:r>
        <w:rPr>
          <w:rFonts w:ascii="仿宋_GB2312" w:hAnsi="仿宋_GB2312" w:cs="仿宋_GB2312" w:eastAsia="仿宋_GB2312"/>
        </w:rPr>
        <w:t>采购包最高限价（元）: 517,400.00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实验室检测试剂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517,400.00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标的名称：实验室检测耗材及试剂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采购要求</w:t>
            </w:r>
          </w:p>
          <w:p>
            <w:pPr>
              <w:pStyle w:val="null3"/>
              <w:ind w:firstLine="480"/>
            </w:pPr>
            <w:r>
              <w:rPr>
                <w:rFonts w:ascii="仿宋_GB2312" w:hAnsi="仿宋_GB2312" w:cs="仿宋_GB2312" w:eastAsia="仿宋_GB2312"/>
                <w:sz w:val="21"/>
              </w:rPr>
              <w:t>1、供方应保证所供货物为《采购物品中标通知书》中明确的公司制造生产、原包装、全新未使用过的产品，与投标文件承诺一致，并完全符合或高于合同要求的质量、规格和技术性能。</w:t>
            </w:r>
          </w:p>
          <w:p>
            <w:pPr>
              <w:pStyle w:val="null3"/>
            </w:pPr>
            <w:r>
              <w:rPr>
                <w:rFonts w:ascii="仿宋_GB2312" w:hAnsi="仿宋_GB2312" w:cs="仿宋_GB2312" w:eastAsia="仿宋_GB2312"/>
                <w:sz w:val="21"/>
              </w:rPr>
              <w:t>2、供方应保证所供货物没有因供方的行为或疏忽而产生材料或工艺上的缺陷，并保证其货物在正确安装、正常使用和保养条件下，在其使用寿命期内具有满意的性能。在货物最终交付验收后不少于合同规定或乙方承诺(两者以较长的为准)的质量保证期内，本保证保持有效。</w:t>
            </w:r>
          </w:p>
          <w:p>
            <w:pPr>
              <w:pStyle w:val="null3"/>
            </w:pPr>
            <w:r>
              <w:rPr>
                <w:rFonts w:ascii="仿宋_GB2312" w:hAnsi="仿宋_GB2312" w:cs="仿宋_GB2312" w:eastAsia="仿宋_GB2312"/>
                <w:sz w:val="21"/>
              </w:rPr>
              <w:t>3、如果供方所供货物质量与合同不符，或证实所供货物是有缺陷的，包括潜在的缺陷或使用不符合要求的材料等，由此引起的全部损失及费用由供方承担。若以上原因导致或引起需方用户损失及导致或引起第三方受到损害的，全部赔偿责任均应由供方承担。</w:t>
            </w:r>
          </w:p>
          <w:p>
            <w:pPr>
              <w:pStyle w:val="null3"/>
            </w:pPr>
            <w:r>
              <w:rPr>
                <w:rFonts w:ascii="仿宋_GB2312" w:hAnsi="仿宋_GB2312" w:cs="仿宋_GB2312" w:eastAsia="仿宋_GB2312"/>
                <w:sz w:val="21"/>
              </w:rPr>
              <w:t>4、在质量保证期内所发现的缺陷，需方用户应尽快以书面形式通知供方。供方收到通知后应10日内免费维修或更换有缺陷的货物或部件。</w:t>
            </w:r>
          </w:p>
          <w:p>
            <w:pPr>
              <w:pStyle w:val="null3"/>
            </w:pPr>
            <w:r>
              <w:rPr>
                <w:rFonts w:ascii="仿宋_GB2312" w:hAnsi="仿宋_GB2312" w:cs="仿宋_GB2312" w:eastAsia="仿宋_GB2312"/>
                <w:sz w:val="21"/>
              </w:rPr>
              <w:t>5、供方在约定的时间内未能弥补缺陷，需方用户可采取必要的补救措施，但其风险和费用将由供方承担，需方根据合同规定对供方行使的其他权利不受影响。</w:t>
            </w:r>
          </w:p>
          <w:p>
            <w:pPr>
              <w:pStyle w:val="null3"/>
            </w:pPr>
            <w:r>
              <w:rPr>
                <w:rFonts w:ascii="仿宋_GB2312" w:hAnsi="仿宋_GB2312" w:cs="仿宋_GB2312" w:eastAsia="仿宋_GB2312"/>
                <w:sz w:val="21"/>
              </w:rPr>
              <w:t>6、货物的质量保证期为自双方签署验收合格报告之日起1年。</w:t>
            </w:r>
          </w:p>
          <w:p>
            <w:pPr>
              <w:pStyle w:val="null3"/>
            </w:pPr>
            <w:r>
              <w:rPr>
                <w:rFonts w:ascii="仿宋_GB2312" w:hAnsi="仿宋_GB2312" w:cs="仿宋_GB2312" w:eastAsia="仿宋_GB2312"/>
                <w:sz w:val="21"/>
              </w:rPr>
              <w:t>7、免费提供常年7*24小时的技术支持与售后服务，提供专线电话支持服务，2小时内响应，保证48小时内到达现场并解决故障</w:t>
            </w:r>
            <w:r>
              <w:rPr>
                <w:rFonts w:ascii="仿宋_GB2312" w:hAnsi="仿宋_GB2312" w:cs="仿宋_GB2312" w:eastAsia="仿宋_GB2312"/>
                <w:sz w:val="24"/>
              </w:rPr>
              <w:t>。</w:t>
            </w:r>
          </w:p>
          <w:p>
            <w:pPr>
              <w:pStyle w:val="null3"/>
              <w:ind w:firstLine="482"/>
            </w:pPr>
            <w:r>
              <w:rPr>
                <w:rFonts w:ascii="仿宋_GB2312" w:hAnsi="仿宋_GB2312" w:cs="仿宋_GB2312" w:eastAsia="仿宋_GB2312"/>
                <w:sz w:val="24"/>
                <w:b/>
              </w:rPr>
              <w:t>二、采购需求及技术参数</w:t>
            </w:r>
          </w:p>
          <w:tbl>
            <w:tblPr>
              <w:tblBorders>
                <w:top w:val="none" w:color="000000" w:sz="4"/>
                <w:left w:val="none" w:color="000000" w:sz="4"/>
                <w:bottom w:val="none" w:color="000000" w:sz="4"/>
                <w:right w:val="none" w:color="000000" w:sz="4"/>
                <w:insideH w:val="none"/>
                <w:insideV w:val="none"/>
              </w:tblBorders>
            </w:tblPr>
            <w:tblGrid>
              <w:gridCol w:w="532"/>
              <w:gridCol w:w="1687"/>
              <w:gridCol w:w="324"/>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物品名称</w:t>
                  </w:r>
                </w:p>
              </w:tc>
              <w:tc>
                <w:tcPr>
                  <w:tcW w:type="dxa" w:w="1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超声分散仪比浊管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5ml，400支/箱。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超声分散仪标准浊度管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1.可配套体必康细菌超声分散计数仪校准使用。</w:t>
                  </w:r>
                </w:p>
                <w:p>
                  <w:pPr>
                    <w:pStyle w:val="null3"/>
                    <w:jc w:val="left"/>
                  </w:pPr>
                  <w:r>
                    <w:rPr>
                      <w:rFonts w:ascii="仿宋_GB2312" w:hAnsi="仿宋_GB2312" w:cs="仿宋_GB2312" w:eastAsia="仿宋_GB2312"/>
                      <w:sz w:val="21"/>
                      <w:color w:val="000000"/>
                    </w:rPr>
                    <w:t>2.每套含5支标准浊度管，浊度分别为0、0.5、1、2、3麦氏。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一次性吸管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1ml ，管壁透明带刻度，无菌独立包装，≥2500支/箱。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前处理管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25ml，高度8.5cm，直径2.5cm，螺旋盖无毒、无菌、透明塑料PC管，≥25个/包*26包/箱</w:t>
                  </w:r>
                  <w:r>
                    <w:rPr>
                      <w:rFonts w:ascii="仿宋_GB2312" w:hAnsi="仿宋_GB2312" w:cs="仿宋_GB2312" w:eastAsia="仿宋_GB2312"/>
                      <w:sz w:val="21"/>
                      <w:color w:val="000000"/>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50ml尖底离心管</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50ml尖底，管壁透明带刻度，无菌，高度12cm，直径3cm，螺口，≥50个/包*10包/箱</w:t>
                  </w:r>
                  <w:r>
                    <w:rPr>
                      <w:rFonts w:ascii="仿宋_GB2312" w:hAnsi="仿宋_GB2312" w:cs="仿宋_GB2312" w:eastAsia="仿宋_GB2312"/>
                      <w:sz w:val="21"/>
                      <w:color w:val="000000"/>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移液器枪头</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 ul，带滤芯无菌，盒装 96支/盒</w:t>
                  </w:r>
                  <w:r>
                    <w:rPr>
                      <w:rFonts w:ascii="仿宋_GB2312" w:hAnsi="仿宋_GB2312" w:cs="仿宋_GB2312" w:eastAsia="仿宋_GB2312"/>
                      <w:sz w:val="21"/>
                      <w:color w:val="000000"/>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1000盒</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8道手动排移液器</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1.量程20-200 ul，8道，全量程段4位数字显示。</w:t>
                  </w:r>
                </w:p>
                <w:p>
                  <w:pPr>
                    <w:pStyle w:val="null3"/>
                    <w:jc w:val="left"/>
                  </w:pPr>
                  <w:r>
                    <w:rPr>
                      <w:rFonts w:ascii="仿宋_GB2312" w:hAnsi="仿宋_GB2312" w:cs="仿宋_GB2312" w:eastAsia="仿宋_GB2312"/>
                      <w:sz w:val="21"/>
                      <w:color w:val="000000"/>
                    </w:rPr>
                    <w:t>2.由 PVDF 组分制成，可经受刺激性化学品破坏。无需拆卸，整支移液器可进行121°C高压湿热灭菌和紫外灭菌。</w:t>
                  </w:r>
                </w:p>
                <w:p>
                  <w:pPr>
                    <w:pStyle w:val="null3"/>
                    <w:jc w:val="left"/>
                  </w:pPr>
                  <w:r>
                    <w:rPr>
                      <w:rFonts w:ascii="仿宋_GB2312" w:hAnsi="仿宋_GB2312" w:cs="仿宋_GB2312" w:eastAsia="仿宋_GB2312"/>
                      <w:sz w:val="21"/>
                      <w:color w:val="000000"/>
                    </w:rPr>
                    <w:t>3.手动褪除吸头，量程可锁定，吸头锥处为o-型环设计易于安装与褪除，每个吸头锥带密封圈设计，均可轻松旋下。下半支可旋转。</w:t>
                  </w:r>
                </w:p>
                <w:p>
                  <w:pPr>
                    <w:pStyle w:val="null3"/>
                    <w:jc w:val="left"/>
                  </w:pPr>
                  <w:r>
                    <w:rPr>
                      <w:rFonts w:ascii="仿宋_GB2312" w:hAnsi="仿宋_GB2312" w:cs="仿宋_GB2312" w:eastAsia="仿宋_GB2312"/>
                      <w:sz w:val="21"/>
                      <w:color w:val="000000"/>
                    </w:rPr>
                    <w:t>4.分刻度0.2 ul，准确度≤ ±0.8%，偏差系数≤ ±0.3%</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5.提供配套旋转挂架。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1支</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12道手动排移液器</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1.量程20-200 ul，12道，全量程段4位数字显示。</w:t>
                  </w:r>
                </w:p>
                <w:p>
                  <w:pPr>
                    <w:pStyle w:val="null3"/>
                    <w:jc w:val="left"/>
                  </w:pPr>
                  <w:r>
                    <w:rPr>
                      <w:rFonts w:ascii="仿宋_GB2312" w:hAnsi="仿宋_GB2312" w:cs="仿宋_GB2312" w:eastAsia="仿宋_GB2312"/>
                      <w:sz w:val="21"/>
                      <w:color w:val="000000"/>
                    </w:rPr>
                    <w:t>2.由 PVDF 组分制成，可经受刺激性化学品破坏。无需拆卸，整支移液器可进行121°C高压湿热灭菌和紫外灭菌。</w:t>
                  </w:r>
                </w:p>
                <w:p>
                  <w:pPr>
                    <w:pStyle w:val="null3"/>
                    <w:jc w:val="left"/>
                  </w:pPr>
                  <w:r>
                    <w:rPr>
                      <w:rFonts w:ascii="仿宋_GB2312" w:hAnsi="仿宋_GB2312" w:cs="仿宋_GB2312" w:eastAsia="仿宋_GB2312"/>
                      <w:sz w:val="21"/>
                      <w:color w:val="000000"/>
                    </w:rPr>
                    <w:t>3.手动褪除吸头，量程可锁定，吸头锥处为o-型环设计易于安装与褪除，每个吸头锥带密封圈设计，均可轻松旋下。下半支可旋转。</w:t>
                  </w:r>
                </w:p>
                <w:p>
                  <w:pPr>
                    <w:pStyle w:val="null3"/>
                    <w:jc w:val="left"/>
                  </w:pPr>
                  <w:r>
                    <w:rPr>
                      <w:rFonts w:ascii="仿宋_GB2312" w:hAnsi="仿宋_GB2312" w:cs="仿宋_GB2312" w:eastAsia="仿宋_GB2312"/>
                      <w:sz w:val="21"/>
                      <w:color w:val="000000"/>
                    </w:rPr>
                    <w:t>4.分刻度0.2ul，准确度≤ ±0.8%，偏差系数≤ ±0.3%</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5.提供配套旋转挂架。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1支</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一次性无菌加样槽</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1.无菌独立包装，聚苯乙烯材质，V形底设计，引流槽设计，加宽底座。</w:t>
                  </w:r>
                </w:p>
                <w:p>
                  <w:pPr>
                    <w:pStyle w:val="null3"/>
                    <w:jc w:val="left"/>
                  </w:pPr>
                  <w:r>
                    <w:rPr>
                      <w:rFonts w:ascii="仿宋_GB2312" w:hAnsi="仿宋_GB2312" w:cs="仿宋_GB2312" w:eastAsia="仿宋_GB2312"/>
                      <w:sz w:val="21"/>
                      <w:color w:val="000000"/>
                    </w:rPr>
                    <w:t>2.容积25ml，长度1.5cm，宽度5.85cm、高度2.6cm，配套8道移液器使用。≥130个/箱。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150箱</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 ul 无菌接种环</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1.无菌接种环，高抗冲聚苯乙烯材质。</w:t>
                  </w:r>
                </w:p>
                <w:p>
                  <w:pPr>
                    <w:pStyle w:val="null3"/>
                    <w:jc w:val="left"/>
                  </w:pPr>
                  <w:r>
                    <w:rPr>
                      <w:rFonts w:ascii="仿宋_GB2312" w:hAnsi="仿宋_GB2312" w:cs="仿宋_GB2312" w:eastAsia="仿宋_GB2312"/>
                      <w:sz w:val="21"/>
                      <w:color w:val="000000"/>
                    </w:rPr>
                    <w:t>2.22SWG 10ul，长219mm，环内径3.62mm。10支/包。</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30000支</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分枝杆菌鉴定试剂盒（荧光</w:t>
                  </w:r>
                  <w:r>
                    <w:rPr>
                      <w:rFonts w:ascii="仿宋_GB2312" w:hAnsi="仿宋_GB2312" w:cs="仿宋_GB2312" w:eastAsia="仿宋_GB2312"/>
                      <w:sz w:val="21"/>
                      <w:color w:val="000000"/>
                    </w:rPr>
                    <w:t>PCR熔解曲线法）</w:t>
                  </w:r>
                </w:p>
              </w:tc>
              <w:tc>
                <w:tcPr>
                  <w:tcW w:type="dxa" w:w="1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（荧光</w:t>
                  </w:r>
                  <w:r>
                    <w:rPr>
                      <w:rFonts w:ascii="仿宋_GB2312" w:hAnsi="仿宋_GB2312" w:cs="仿宋_GB2312" w:eastAsia="仿宋_GB2312"/>
                      <w:sz w:val="21"/>
                      <w:color w:val="000000"/>
                    </w:rPr>
                    <w:t>PCR熔解曲线法）；鉴定19种分枝杆菌；24T/盒。</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3盒</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标的名称：实验室检测试剂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采购要求</w:t>
            </w:r>
          </w:p>
          <w:p>
            <w:pPr>
              <w:pStyle w:val="null3"/>
              <w:jc w:val="both"/>
            </w:pPr>
            <w:r>
              <w:rPr>
                <w:rFonts w:ascii="仿宋_GB2312" w:hAnsi="仿宋_GB2312" w:cs="仿宋_GB2312" w:eastAsia="仿宋_GB2312"/>
                <w:sz w:val="21"/>
              </w:rPr>
              <w:t>1、供方应保证所供货物为《采购物品中标通知书》中明确的公司制造生产、原包装、全新未使用过的产品，与投标文件承诺一致，并完全符合或高于合同要求的质量、规格和技术性能。</w:t>
            </w:r>
          </w:p>
          <w:p>
            <w:pPr>
              <w:pStyle w:val="null3"/>
              <w:jc w:val="both"/>
            </w:pPr>
            <w:r>
              <w:rPr>
                <w:rFonts w:ascii="仿宋_GB2312" w:hAnsi="仿宋_GB2312" w:cs="仿宋_GB2312" w:eastAsia="仿宋_GB2312"/>
                <w:sz w:val="21"/>
              </w:rPr>
              <w:t>2、供方应保证所供货物没有因供方的行为或疏忽而产生材料或工艺上的缺陷，并保证其货物在正确安装、正常使用和保养条件下，在其使用寿命期内具有满意的性能。在货物最终交付验收后不少于合同规定或乙方承诺(两者以较长的为准)的质量保证期内，本保证保持有效。</w:t>
            </w:r>
          </w:p>
          <w:p>
            <w:pPr>
              <w:pStyle w:val="null3"/>
              <w:jc w:val="both"/>
            </w:pPr>
            <w:r>
              <w:rPr>
                <w:rFonts w:ascii="仿宋_GB2312" w:hAnsi="仿宋_GB2312" w:cs="仿宋_GB2312" w:eastAsia="仿宋_GB2312"/>
                <w:sz w:val="21"/>
              </w:rPr>
              <w:t>3、如果供方所供货物质量与合同不符，或证实所供货物是有缺陷的，包括潜在的缺陷或使用不符合要求的材料等，由此引起的全部损失及费用由供方承担。若以上原因导致或引起需方用户损失及导致或引起第三方受到损害的，全部赔偿责任均应由供方承担。</w:t>
            </w:r>
          </w:p>
          <w:p>
            <w:pPr>
              <w:pStyle w:val="null3"/>
              <w:jc w:val="both"/>
            </w:pPr>
            <w:r>
              <w:rPr>
                <w:rFonts w:ascii="仿宋_GB2312" w:hAnsi="仿宋_GB2312" w:cs="仿宋_GB2312" w:eastAsia="仿宋_GB2312"/>
                <w:sz w:val="21"/>
              </w:rPr>
              <w:t>4、在质量保证期内所发现的缺陷，需方用户应尽快以书面形式通知供方。供方收到通知后应10日内免费维修或更换有缺陷的货物或部件。</w:t>
            </w:r>
          </w:p>
          <w:p>
            <w:pPr>
              <w:pStyle w:val="null3"/>
              <w:jc w:val="both"/>
            </w:pPr>
            <w:r>
              <w:rPr>
                <w:rFonts w:ascii="仿宋_GB2312" w:hAnsi="仿宋_GB2312" w:cs="仿宋_GB2312" w:eastAsia="仿宋_GB2312"/>
                <w:sz w:val="21"/>
              </w:rPr>
              <w:t>5、供方在约定的时间内未能弥补缺陷，需方用户可采取必要的补救措施，但其风险和费用将由供方承担，需方根据合同规定对供方行使的其他权利不受影响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货物的质量保证期为自双方签署验收合格报告之日起</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7、免费提供常年7*24小时的技术支持与售后服务，提供专线电话支持服务，2小时内响应，保证48小时内到达现场并解决故障。</w:t>
            </w:r>
          </w:p>
          <w:p>
            <w:pPr>
              <w:pStyle w:val="null3"/>
              <w:jc w:val="both"/>
            </w:pPr>
            <w:r>
              <w:rPr>
                <w:rFonts w:ascii="仿宋_GB2312" w:hAnsi="仿宋_GB2312" w:cs="仿宋_GB2312" w:eastAsia="仿宋_GB2312"/>
                <w:sz w:val="21"/>
              </w:rPr>
              <w:t>二、采购需求及技术参数</w:t>
            </w:r>
          </w:p>
          <w:tbl>
            <w:tblPr>
              <w:tblBorders>
                <w:top w:val="none" w:color="000000" w:sz="4"/>
                <w:left w:val="none" w:color="000000" w:sz="4"/>
                <w:bottom w:val="none" w:color="000000" w:sz="4"/>
                <w:right w:val="none" w:color="000000" w:sz="4"/>
                <w:insideH w:val="none"/>
                <w:insideV w:val="none"/>
              </w:tblBorders>
            </w:tblPr>
            <w:tblGrid>
              <w:gridCol w:w="274"/>
              <w:gridCol w:w="2069"/>
              <w:gridCol w:w="196"/>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物品名称</w:t>
                  </w:r>
                </w:p>
              </w:tc>
              <w:tc>
                <w:tcPr>
                  <w:tcW w:type="dxa" w:w="20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罗氏药敏培养基</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1.规格：25mm×80 mm，使用螺旋盖无毒、无菌、透明塑料PC管培养基，每管培养基分装量为7 ml；管内培养基斜面长度，管与管之间误差±0.3 mm；盒内必须有格板防止倾倒。</w:t>
                  </w:r>
                </w:p>
                <w:p>
                  <w:pPr>
                    <w:pStyle w:val="null3"/>
                    <w:jc w:val="both"/>
                  </w:pPr>
                  <w:r>
                    <w:rPr>
                      <w:rFonts w:ascii="仿宋_GB2312" w:hAnsi="仿宋_GB2312" w:cs="仿宋_GB2312" w:eastAsia="仿宋_GB2312"/>
                      <w:sz w:val="21"/>
                    </w:rPr>
                    <w:t>2.斜面占培养管长度的2/3-4/5；培养基成品表面平滑，触之有一定韧度，背面气泡不得多于2个；培养基颜色一致。</w:t>
                  </w:r>
                </w:p>
                <w:p>
                  <w:pPr>
                    <w:pStyle w:val="null3"/>
                    <w:jc w:val="both"/>
                  </w:pPr>
                  <w:r>
                    <w:rPr>
                      <w:rFonts w:ascii="仿宋_GB2312" w:hAnsi="仿宋_GB2312" w:cs="仿宋_GB2312" w:eastAsia="仿宋_GB2312"/>
                      <w:sz w:val="21"/>
                    </w:rPr>
                    <w:t>3.培养管需用专用试管，具有透气、防污染的功能。</w:t>
                  </w:r>
                </w:p>
                <w:p>
                  <w:pPr>
                    <w:pStyle w:val="null3"/>
                    <w:jc w:val="both"/>
                  </w:pPr>
                  <w:r>
                    <w:rPr>
                      <w:rFonts w:ascii="仿宋_GB2312" w:hAnsi="仿宋_GB2312" w:cs="仿宋_GB2312" w:eastAsia="仿宋_GB2312"/>
                      <w:sz w:val="21"/>
                    </w:rPr>
                    <w:t>4.每套组包含15支，组成为：</w:t>
                  </w:r>
                </w:p>
                <w:p>
                  <w:pPr>
                    <w:pStyle w:val="null3"/>
                    <w:jc w:val="both"/>
                  </w:pPr>
                  <w:r>
                    <w:rPr>
                      <w:rFonts w:ascii="仿宋_GB2312" w:hAnsi="仿宋_GB2312" w:cs="仿宋_GB2312" w:eastAsia="仿宋_GB2312"/>
                      <w:sz w:val="21"/>
                    </w:rPr>
                    <w:t>1）对照中性罗氏培养基（CON）2支；</w:t>
                  </w:r>
                </w:p>
                <w:p>
                  <w:pPr>
                    <w:pStyle w:val="null3"/>
                    <w:jc w:val="both"/>
                  </w:pPr>
                  <w:r>
                    <w:rPr>
                      <w:rFonts w:ascii="仿宋_GB2312" w:hAnsi="仿宋_GB2312" w:cs="仿宋_GB2312" w:eastAsia="仿宋_GB2312"/>
                      <w:sz w:val="21"/>
                    </w:rPr>
                    <w:t>2）鉴定罗氏培养基（PNB）1支，药物浓度为：对硝基苯甲酸：500 ug/ml；</w:t>
                  </w:r>
                </w:p>
                <w:p>
                  <w:pPr>
                    <w:pStyle w:val="null3"/>
                    <w:jc w:val="both"/>
                  </w:pPr>
                  <w:r>
                    <w:rPr>
                      <w:rFonts w:ascii="仿宋_GB2312" w:hAnsi="仿宋_GB2312" w:cs="仿宋_GB2312" w:eastAsia="仿宋_GB2312"/>
                      <w:sz w:val="21"/>
                    </w:rPr>
                    <w:t>3）6种含药培养基各2支，含药培养基内药物终浓度为：异烟肼：0.2 ug/ml，利福平：40 ug/ml，左氧氟沙星：2 ug/ml，莫西沙星：1 ug/ml，卡那霉素：30 ug/ml，阿米卡星：30 ug/ml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5.污染试验：培养基放入35℃-37℃孵育箱内孵育24～48小时，应无细菌生长；生长试验：接种H37Ra结核分枝杆菌至21天可见菌落生长。</w:t>
                  </w:r>
                </w:p>
                <w:p>
                  <w:pPr>
                    <w:pStyle w:val="null3"/>
                    <w:jc w:val="both"/>
                  </w:pPr>
                  <w:r>
                    <w:rPr>
                      <w:rFonts w:ascii="仿宋_GB2312" w:hAnsi="仿宋_GB2312" w:cs="仿宋_GB2312" w:eastAsia="仿宋_GB2312"/>
                      <w:sz w:val="21"/>
                    </w:rPr>
                    <w:t>6.管上须有喷墨印刷标签，含品名、批号、制造日期、有效日期。</w:t>
                  </w:r>
                </w:p>
                <w:p>
                  <w:pPr>
                    <w:pStyle w:val="null3"/>
                    <w:jc w:val="both"/>
                  </w:pPr>
                  <w:r>
                    <w:rPr>
                      <w:rFonts w:ascii="仿宋_GB2312" w:hAnsi="仿宋_GB2312" w:cs="仿宋_GB2312" w:eastAsia="仿宋_GB2312"/>
                      <w:sz w:val="21"/>
                    </w:rPr>
                    <w:t>7.每批次培养基均提供检测报告(含污染试验与生长试验等)。</w:t>
                  </w:r>
                </w:p>
                <w:p>
                  <w:pPr>
                    <w:pStyle w:val="null3"/>
                    <w:jc w:val="both"/>
                  </w:pPr>
                  <w:r>
                    <w:rPr>
                      <w:rFonts w:ascii="仿宋_GB2312" w:hAnsi="仿宋_GB2312" w:cs="仿宋_GB2312" w:eastAsia="仿宋_GB2312"/>
                      <w:sz w:val="21"/>
                    </w:rPr>
                    <w:t>8.运输条件：在2℃~8℃环境保存（可在8℃～25℃温度范围7 天内短时运输）。此条件需在产品注册证中明确说明。</w:t>
                  </w:r>
                </w:p>
                <w:p>
                  <w:pPr>
                    <w:pStyle w:val="null3"/>
                    <w:jc w:val="both"/>
                  </w:pPr>
                  <w:r>
                    <w:rPr>
                      <w:rFonts w:ascii="仿宋_GB2312" w:hAnsi="仿宋_GB2312" w:cs="仿宋_GB2312" w:eastAsia="仿宋_GB2312"/>
                      <w:sz w:val="21"/>
                    </w:rPr>
                    <w:t>9.有效期时间为3个月。</w:t>
                  </w:r>
                </w:p>
                <w:p>
                  <w:pPr>
                    <w:pStyle w:val="null3"/>
                    <w:jc w:val="both"/>
                  </w:pPr>
                  <w:r>
                    <w:rPr>
                      <w:rFonts w:ascii="仿宋_GB2312" w:hAnsi="仿宋_GB2312" w:cs="仿宋_GB2312" w:eastAsia="仿宋_GB2312"/>
                      <w:sz w:val="21"/>
                    </w:rPr>
                    <w:t>10.可定制搭配套组培养基种类。</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993套</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微孔药敏板</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1.用途：用于结核分枝杆菌药敏测试。</w:t>
                  </w:r>
                </w:p>
                <w:p>
                  <w:pPr>
                    <w:pStyle w:val="null3"/>
                    <w:jc w:val="both"/>
                  </w:pPr>
                  <w:r>
                    <w:rPr>
                      <w:rFonts w:ascii="仿宋_GB2312" w:hAnsi="仿宋_GB2312" w:cs="仿宋_GB2312" w:eastAsia="仿宋_GB2312"/>
                      <w:sz w:val="21"/>
                    </w:rPr>
                    <w:t>2.产品规格：1测试/96孔板。</w:t>
                  </w:r>
                </w:p>
                <w:p>
                  <w:pPr>
                    <w:pStyle w:val="null3"/>
                    <w:jc w:val="both"/>
                  </w:pPr>
                  <w:r>
                    <w:rPr>
                      <w:rFonts w:ascii="仿宋_GB2312" w:hAnsi="仿宋_GB2312" w:cs="仿宋_GB2312" w:eastAsia="仿宋_GB2312"/>
                      <w:sz w:val="21"/>
                    </w:rPr>
                    <w:t>3.结核分枝杆菌药物种类：至少包含14种药物——异烟肼、氧氟沙星、莫西沙星、丙硫异烟胺、链霉素、卡那霉素、利福布丁、对氨基水杨酸钠、乙胺丁醇、卷曲霉素、左氧氟沙星、利福平、阿米卡星，吡嗪酰胺。并可根据需求订制药物种类。</w:t>
                  </w:r>
                </w:p>
                <w:p>
                  <w:pPr>
                    <w:pStyle w:val="null3"/>
                    <w:jc w:val="both"/>
                  </w:pPr>
                  <w:r>
                    <w:rPr>
                      <w:rFonts w:ascii="仿宋_GB2312" w:hAnsi="仿宋_GB2312" w:cs="仿宋_GB2312" w:eastAsia="仿宋_GB2312"/>
                      <w:sz w:val="21"/>
                    </w:rPr>
                    <w:t>4.药物浓度多样化：1测试/96孔板每种药物7-8个药物浓度。并可根据需求订制浓度梯度范围。</w:t>
                  </w:r>
                </w:p>
                <w:p>
                  <w:pPr>
                    <w:pStyle w:val="null3"/>
                    <w:jc w:val="both"/>
                  </w:pPr>
                  <w:r>
                    <w:rPr>
                      <w:rFonts w:ascii="仿宋_GB2312" w:hAnsi="仿宋_GB2312" w:cs="仿宋_GB2312" w:eastAsia="仿宋_GB2312"/>
                      <w:sz w:val="21"/>
                    </w:rPr>
                    <w:t>5.培养液、封板膜、密封袋、刮板等配套包含在试剂盒组成内。</w:t>
                  </w:r>
                </w:p>
                <w:p>
                  <w:pPr>
                    <w:pStyle w:val="null3"/>
                    <w:jc w:val="both"/>
                  </w:pPr>
                  <w:r>
                    <w:rPr>
                      <w:rFonts w:ascii="仿宋_GB2312" w:hAnsi="仿宋_GB2312" w:cs="仿宋_GB2312" w:eastAsia="仿宋_GB2312"/>
                      <w:sz w:val="21"/>
                    </w:rPr>
                    <w:t>6.生物安全：加样量≤200 ul/孔，保证拿取时不易溢出，同时菌液与包被药物充分接触。</w:t>
                  </w:r>
                </w:p>
                <w:p>
                  <w:pPr>
                    <w:pStyle w:val="null3"/>
                    <w:jc w:val="both"/>
                  </w:pPr>
                  <w:r>
                    <w:rPr>
                      <w:rFonts w:ascii="仿宋_GB2312" w:hAnsi="仿宋_GB2312" w:cs="仿宋_GB2312" w:eastAsia="仿宋_GB2312"/>
                      <w:sz w:val="21"/>
                    </w:rPr>
                    <w:t>7防脱处理：96孔板经过特殊防脱处理。</w:t>
                  </w:r>
                </w:p>
                <w:p>
                  <w:pPr>
                    <w:pStyle w:val="null3"/>
                    <w:jc w:val="both"/>
                  </w:pPr>
                  <w:r>
                    <w:rPr>
                      <w:rFonts w:ascii="仿宋_GB2312" w:hAnsi="仿宋_GB2312" w:cs="仿宋_GB2312" w:eastAsia="仿宋_GB2312"/>
                      <w:sz w:val="21"/>
                    </w:rPr>
                    <w:t>8.运输条件：可在 8℃～30℃温度范围7天内短时运输。</w:t>
                  </w:r>
                </w:p>
                <w:p>
                  <w:pPr>
                    <w:pStyle w:val="null3"/>
                    <w:jc w:val="both"/>
                  </w:pPr>
                  <w:r>
                    <w:rPr>
                      <w:rFonts w:ascii="仿宋_GB2312" w:hAnsi="仿宋_GB2312" w:cs="仿宋_GB2312" w:eastAsia="仿宋_GB2312"/>
                      <w:sz w:val="21"/>
                    </w:rPr>
                    <w:t>9.有效期：12个月。</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2285板</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液培前处理消化液</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4"/>
                    </w:rPr>
                    <w:t xml:space="preserve"> </w:t>
                  </w:r>
                  <w:r>
                    <w:rPr>
                      <w:rFonts w:ascii="仿宋_GB2312" w:hAnsi="仿宋_GB2312" w:cs="仿宋_GB2312" w:eastAsia="仿宋_GB2312"/>
                      <w:sz w:val="21"/>
                    </w:rPr>
                    <w:t>用途：用于对痰标本或其它非无菌体液标本的处理。</w:t>
                  </w:r>
                </w:p>
                <w:p>
                  <w:pPr>
                    <w:pStyle w:val="null3"/>
                    <w:jc w:val="both"/>
                  </w:pPr>
                  <w:r>
                    <w:rPr>
                      <w:rFonts w:ascii="仿宋_GB2312" w:hAnsi="仿宋_GB2312" w:cs="仿宋_GB2312" w:eastAsia="仿宋_GB2312"/>
                      <w:sz w:val="21"/>
                    </w:rPr>
                    <w:t>2每套试剂可进行≥40个测试。</w:t>
                  </w:r>
                </w:p>
                <w:p>
                  <w:pPr>
                    <w:pStyle w:val="null3"/>
                    <w:jc w:val="both"/>
                  </w:pPr>
                  <w:r>
                    <w:rPr>
                      <w:rFonts w:ascii="仿宋_GB2312" w:hAnsi="仿宋_GB2312" w:cs="仿宋_GB2312" w:eastAsia="仿宋_GB2312"/>
                      <w:sz w:val="21"/>
                    </w:rPr>
                    <w:t>3.试剂需包含NALC（N-乙酰-L-半胱氨酸）和磷酸盐缓冲液，用于分枝杆菌液体培养操作过程中对样本进行液化的前处理。</w:t>
                  </w:r>
                </w:p>
                <w:p>
                  <w:pPr>
                    <w:pStyle w:val="null3"/>
                    <w:jc w:val="both"/>
                  </w:pPr>
                  <w:r>
                    <w:rPr>
                      <w:rFonts w:ascii="仿宋_GB2312" w:hAnsi="仿宋_GB2312" w:cs="仿宋_GB2312" w:eastAsia="仿宋_GB2312"/>
                      <w:sz w:val="21"/>
                    </w:rPr>
                    <w:t>4.贮存条件：2℃～8℃贮存，未开封有效期为6个月（效期内可在 8℃ ～30℃温度范围7天内短时运输）。</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10套</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药敏及添加剂</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4"/>
                    </w:rPr>
                    <w:t xml:space="preserve"> </w:t>
                  </w:r>
                  <w:r>
                    <w:rPr>
                      <w:rFonts w:ascii="仿宋_GB2312" w:hAnsi="仿宋_GB2312" w:cs="仿宋_GB2312" w:eastAsia="仿宋_GB2312"/>
                      <w:sz w:val="21"/>
                    </w:rPr>
                    <w:t>用途：用于定性检测纯培养结核分枝杆菌的药物敏感性。</w:t>
                  </w:r>
                </w:p>
                <w:p>
                  <w:pPr>
                    <w:pStyle w:val="null3"/>
                    <w:jc w:val="both"/>
                  </w:pPr>
                  <w:r>
                    <w:rPr>
                      <w:rFonts w:ascii="仿宋_GB2312" w:hAnsi="仿宋_GB2312" w:cs="仿宋_GB2312" w:eastAsia="仿宋_GB2312"/>
                      <w:sz w:val="21"/>
                    </w:rPr>
                    <w:t>2.结核分枝杆菌药物种类：链霉素（SM）、异烟肼（INH）、利福平（RFP）、乙胺丁醇（EMB）等药物。</w:t>
                  </w:r>
                </w:p>
                <w:p>
                  <w:pPr>
                    <w:pStyle w:val="null3"/>
                    <w:jc w:val="both"/>
                  </w:pPr>
                  <w:r>
                    <w:rPr>
                      <w:rFonts w:ascii="仿宋_GB2312" w:hAnsi="仿宋_GB2312" w:cs="仿宋_GB2312" w:eastAsia="仿宋_GB2312"/>
                      <w:sz w:val="21"/>
                    </w:rPr>
                    <w:t>3.添加剂可提供分枝杆菌生长所需营养，成分主要为OADC。</w:t>
                  </w:r>
                </w:p>
                <w:p>
                  <w:pPr>
                    <w:pStyle w:val="null3"/>
                    <w:jc w:val="both"/>
                  </w:pPr>
                  <w:r>
                    <w:rPr>
                      <w:rFonts w:ascii="仿宋_GB2312" w:hAnsi="仿宋_GB2312" w:cs="仿宋_GB2312" w:eastAsia="仿宋_GB2312"/>
                      <w:sz w:val="21"/>
                    </w:rPr>
                    <w:t>4.每套试剂可进行≥20个测试。</w:t>
                  </w:r>
                </w:p>
                <w:p>
                  <w:pPr>
                    <w:pStyle w:val="null3"/>
                    <w:jc w:val="both"/>
                  </w:pPr>
                  <w:r>
                    <w:rPr>
                      <w:rFonts w:ascii="仿宋_GB2312" w:hAnsi="仿宋_GB2312" w:cs="仿宋_GB2312" w:eastAsia="仿宋_GB2312"/>
                      <w:sz w:val="21"/>
                    </w:rPr>
                    <w:t>5.配套分枝杆菌液体培养管使用，适用于全自动分枝杆菌培养监测仪。</w:t>
                  </w:r>
                </w:p>
                <w:p>
                  <w:pPr>
                    <w:pStyle w:val="null3"/>
                    <w:jc w:val="both"/>
                  </w:pPr>
                  <w:r>
                    <w:rPr>
                      <w:rFonts w:ascii="仿宋_GB2312" w:hAnsi="仿宋_GB2312" w:cs="仿宋_GB2312" w:eastAsia="仿宋_GB2312"/>
                      <w:sz w:val="21"/>
                    </w:rPr>
                    <w:t>6.储存条件：2～8℃ 避光保存，8ºC～30ºC下可短时运输（7天内）。</w:t>
                  </w:r>
                </w:p>
                <w:p>
                  <w:pPr>
                    <w:pStyle w:val="null3"/>
                    <w:jc w:val="both"/>
                  </w:pPr>
                  <w:r>
                    <w:rPr>
                      <w:rFonts w:ascii="仿宋_GB2312" w:hAnsi="仿宋_GB2312" w:cs="仿宋_GB2312" w:eastAsia="仿宋_GB2312"/>
                      <w:sz w:val="21"/>
                    </w:rPr>
                    <w:t>7.有效期：12个月。</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20套</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液体培养管及营养抑菌剂</w:t>
                  </w:r>
                </w:p>
              </w:tc>
              <w:tc>
                <w:tcPr>
                  <w:tcW w:type="dxa" w:w="20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4"/>
                    </w:rPr>
                    <w:t xml:space="preserve"> </w:t>
                  </w:r>
                  <w:r>
                    <w:rPr>
                      <w:rFonts w:ascii="仿宋_GB2312" w:hAnsi="仿宋_GB2312" w:cs="仿宋_GB2312" w:eastAsia="仿宋_GB2312"/>
                      <w:sz w:val="21"/>
                    </w:rPr>
                    <w:t>用途：分枝杆菌液体培养管与营养抑菌剂配套用于分枝杆菌的培养及检测。</w:t>
                  </w:r>
                </w:p>
                <w:p>
                  <w:pPr>
                    <w:pStyle w:val="null3"/>
                    <w:jc w:val="both"/>
                  </w:pPr>
                  <w:r>
                    <w:rPr>
                      <w:rFonts w:ascii="仿宋_GB2312" w:hAnsi="仿宋_GB2312" w:cs="仿宋_GB2312" w:eastAsia="仿宋_GB2312"/>
                      <w:sz w:val="21"/>
                    </w:rPr>
                    <w:t>2.检测标本类型：痰液（含支气管肺泡灌洗液）。</w:t>
                  </w:r>
                </w:p>
                <w:p>
                  <w:pPr>
                    <w:pStyle w:val="null3"/>
                    <w:jc w:val="both"/>
                  </w:pPr>
                  <w:r>
                    <w:rPr>
                      <w:rFonts w:ascii="仿宋_GB2312" w:hAnsi="仿宋_GB2312" w:cs="仿宋_GB2312" w:eastAsia="仿宋_GB2312"/>
                      <w:sz w:val="21"/>
                    </w:rPr>
                    <w:t>3.方法学：采用荧光检测方法，荧光增强技术的原理，适用于全自动分枝杆菌培养监测仪。</w:t>
                  </w:r>
                </w:p>
                <w:p>
                  <w:pPr>
                    <w:pStyle w:val="null3"/>
                    <w:jc w:val="both"/>
                  </w:pPr>
                  <w:r>
                    <w:rPr>
                      <w:rFonts w:ascii="仿宋_GB2312" w:hAnsi="仿宋_GB2312" w:cs="仿宋_GB2312" w:eastAsia="仿宋_GB2312"/>
                      <w:sz w:val="21"/>
                    </w:rPr>
                    <w:t>4营养抑菌剂可提供分枝杆菌生长所需营养（成分含OADC）并可抑制杂菌生长。</w:t>
                  </w:r>
                </w:p>
                <w:p>
                  <w:pPr>
                    <w:pStyle w:val="null3"/>
                    <w:jc w:val="both"/>
                  </w:pPr>
                  <w:r>
                    <w:rPr>
                      <w:rFonts w:ascii="仿宋_GB2312" w:hAnsi="仿宋_GB2312" w:cs="仿宋_GB2312" w:eastAsia="仿宋_GB2312"/>
                      <w:sz w:val="21"/>
                    </w:rPr>
                    <w:t>5.分枝杆菌液体培养管7ml/100支/套。每套试剂可进行≥100个测试。</w:t>
                  </w:r>
                </w:p>
                <w:p>
                  <w:pPr>
                    <w:pStyle w:val="null3"/>
                    <w:jc w:val="both"/>
                  </w:pPr>
                  <w:r>
                    <w:rPr>
                      <w:rFonts w:ascii="仿宋_GB2312" w:hAnsi="仿宋_GB2312" w:cs="仿宋_GB2312" w:eastAsia="仿宋_GB2312"/>
                      <w:sz w:val="21"/>
                    </w:rPr>
                    <w:t>6.储存条件：分枝杆菌液体培养管2～25℃避光保存，切勿冷冻，未开封培养管有效期为12个月。分枝杆菌培养添加剂2～8℃避光保存，未开封有效期为12个月（短期内可在8～30℃温度范围7天内短时运输）。</w:t>
                  </w:r>
                </w:p>
                <w:p>
                  <w:pPr>
                    <w:pStyle w:val="null3"/>
                    <w:jc w:val="both"/>
                  </w:pPr>
                  <w:r>
                    <w:rPr>
                      <w:rFonts w:ascii="仿宋_GB2312" w:hAnsi="仿宋_GB2312" w:cs="仿宋_GB2312" w:eastAsia="仿宋_GB2312"/>
                      <w:sz w:val="21"/>
                    </w:rPr>
                    <w:t>7.检测周期：检测周期为42天，平均报阳时间为4～11天。</w:t>
                  </w:r>
                </w:p>
                <w:p>
                  <w:pPr>
                    <w:pStyle w:val="null3"/>
                    <w:jc w:val="both"/>
                  </w:pPr>
                  <w:r>
                    <w:rPr>
                      <w:rFonts w:ascii="仿宋_GB2312" w:hAnsi="仿宋_GB2312" w:cs="仿宋_GB2312" w:eastAsia="仿宋_GB2312"/>
                      <w:sz w:val="21"/>
                    </w:rPr>
                    <w:t>8.有效期：12个月</w:t>
                  </w:r>
                  <w:r>
                    <w:rPr>
                      <w:rFonts w:ascii="仿宋_GB2312" w:hAnsi="仿宋_GB2312" w:cs="仿宋_GB2312" w:eastAsia="仿宋_GB2312"/>
                      <w:sz w:val="21"/>
                    </w:rPr>
                    <w:t>。</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全部货物到货验收合格后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全部货物到货验收合格后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质保期：自双方签署设备验收合格报告之日起计算三年。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质保期：自双方签署设备验收合格报告之日起计算三年。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供应商需在项目电子化交易系统中按要求填写《投标函》完成承诺并进行电子签章。并在投标文件中附相关证明材料。</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意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供应商需在项目电子化交易系统中按要求填写《投标函》完成承诺并进行电子签章。并在投标文件中附相关证明材料。</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意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参会人员身份证明</w:t>
            </w:r>
          </w:p>
        </w:tc>
        <w:tc>
          <w:tcPr>
            <w:tcW w:type="dxa" w:w="3322"/>
          </w:tcPr>
          <w:p>
            <w:pPr>
              <w:pStyle w:val="null3"/>
            </w:pPr>
            <w:r>
              <w:rPr>
                <w:rFonts w:ascii="仿宋_GB2312" w:hAnsi="仿宋_GB2312" w:cs="仿宋_GB2312" w:eastAsia="仿宋_GB2312"/>
              </w:rPr>
              <w:t>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产品须在其经营范围内）；投标人为制造厂商的应出具医疗器械生产许可证或医疗器械生产备案凭证（投标产品须在其经营范围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参会人员身份证明</w:t>
            </w:r>
          </w:p>
        </w:tc>
        <w:tc>
          <w:tcPr>
            <w:tcW w:type="dxa" w:w="3322"/>
          </w:tcPr>
          <w:p>
            <w:pPr>
              <w:pStyle w:val="null3"/>
            </w:pPr>
            <w:r>
              <w:rPr>
                <w:rFonts w:ascii="仿宋_GB2312" w:hAnsi="仿宋_GB2312" w:cs="仿宋_GB2312" w:eastAsia="仿宋_GB2312"/>
              </w:rPr>
              <w:t>投标人应授权合法的人员参加投标全过程，法定代表人（负责人）委托代理人参加投标时，应提供法定代表人委托授权书及被授权人投标截止时间前半年任意一个月的参保缴费证明；法定代表人（负责人）亲自参加投标时，应提供法定代表人（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w:t>
            </w:r>
          </w:p>
        </w:tc>
        <w:tc>
          <w:tcPr>
            <w:tcW w:type="dxa" w:w="3322"/>
          </w:tcPr>
          <w:p>
            <w:pPr>
              <w:pStyle w:val="null3"/>
            </w:pPr>
            <w:r>
              <w:rPr>
                <w:rFonts w:ascii="仿宋_GB2312" w:hAnsi="仿宋_GB2312" w:cs="仿宋_GB2312" w:eastAsia="仿宋_GB2312"/>
              </w:rPr>
              <w:t>参加本项目的潜在投标人须无不良信用记录，开标结束后，采购人或代理机构根据《关于在政府采购活动中查询及使用信用记录有关问题的通知》（财库〔2016〕125号）的要求，通过“信用中国”网站（www.creditchina.gov.cn）、“中国政府采购网”网站 （www.ccgp.gov.cn）等渠道，查询投标人在投标文件提交截止时间前的信用记录并保存信用记录结果网页截图，拒绝列入失信被执行人名单、重大税收违法案件当事人名单、政府采购严重违法失信行为记录名单中的投标人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产品须在其经营范围内）；投标人为制造厂商的应出具医疗器械生产许可证或医疗器械生产备案凭证（投标产品须在其经营范围内）。</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开标一览表.docx 投标方案说明书.docx 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应满足招标文件中的要求（详见：投标人承诺书）</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开标一览表.docx 投标方案说明书.docx 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应满足招标文件中的要求（详见：投标人承诺书）</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资格证明文件.docx 投标方案说明书.docx 分项报价表.docx 投标函 残疾人福利性单位声明函 标的清单 其他资料.docx 投标文件封面 商务条款偏离表.docx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投标人对所投产品技术参数逐条进行明确响应，并提供相关证明材料。 完全满足招标文件11项产品技术参数的得 22 分，每有1项产品技术参数负偏离扣 2 分，扣完为止。 备注： 1.证明材料要求：不论是否偏离，均应提供相关证明材料。各证明材料中的响应指标应保持一致，若不一致以最不利于技术参数响应的证明材料进行评审，未按要求提供证明材料视为负偏离。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投标人须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完整详细所投产品的合法来源渠道证明文件（包括但不限于销售协议、代理协议、原厂授权等），共3分，每缺少1项产品扣0.3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投标人根据项目产品的特点提供完整科学的配送方案，从仓储、运输、派送等方面进行详细叙述。根据配送方案是否符合医用配送相关要求标准，是否能够保证运输安全及派送交接是否合理严谨等方面进行计分。 满足项目要求，无瑕疵：得10分；方案内容存在1处瑕疵：得8分；方案内容存在2处瑕疵：得6分；方案内容存在3处瑕疵：得4分；方案内容存在4处瑕疵：得2分； 未提供方案或不满足招标文件要求或内容存在5处及以上瑕疵：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仓储及设施设备</w:t>
            </w:r>
          </w:p>
        </w:tc>
        <w:tc>
          <w:tcPr>
            <w:tcW w:type="dxa" w:w="2492"/>
          </w:tcPr>
          <w:p>
            <w:pPr>
              <w:pStyle w:val="null3"/>
            </w:pPr>
            <w:r>
              <w:rPr>
                <w:rFonts w:ascii="仿宋_GB2312" w:hAnsi="仿宋_GB2312" w:cs="仿宋_GB2312" w:eastAsia="仿宋_GB2312"/>
              </w:rPr>
              <w:t>提供与投标产品相适应的仓储及设施设备，经营低温冷藏及特殊产品的应具有完整的冷链储运系统及安全保障；备货充足能确保正常供应，提供相关证明材料。材料完整、阐述条理清晰、设施齐全能确保项目顺利实施得5分；材料、设施证明材料基本完整，对产品供应有一定保障得3分；材料、设施证明材料不完善，对产品供应基本保障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投标人针对本项目提供质量保障方案，根据投标人是否有完善的质量保障体系、质量管理制度及质量保障措施方法等方面进行评审。 满足项目要求，无瑕疵：得10分；方案内容存在1处瑕疵：得8分；方案内容存在2处瑕疵：得6分；方案内容存在3处瑕疵：得4分；方案内容存在4处瑕疵：得2分；未提供方案或不满足招标文件要求或内容存在5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投标人有完善的管理体系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方案科学合理、安全可行，完全满足项目要求的得5分；方案有一定的可行性，基本能满足项目要求的得3分（含）；方案有较多欠缺的得1分。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针对本项目提供具体详细的售后服务方案，方案总体思路清晰，工作安排合理，涵盖内容全面，针对性强得5分； 提供具体详细的服务方案，方案总体思路清晰，工作安排合理，涵盖内容全面，针对性欠缺得3分； 提供实施方案涵盖内容不全面，无法保证服务质量得1分；未提供得0分。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针对本项目特点提出可能出现的紧急事项并提出应对措施，如在运输中发生突发状况的合理解决措施。 满足项目要求，无瑕疵：得4分； 方案内容存在1处瑕疵：得3分； 方案内容存在2处瑕疵：得2分；方案内容存在3处瑕疵：得1分；未提供方案或不满足磋商文件要求或内容存在4处及以上瑕疵：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投标人提供自2022年10月1日至今投标产品业绩，每提供一个项目合同得2分，最高得6分。 注：须提供中标/成交公示网页截图或合同清晰扫描件或中标通知书扫描件。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 报价×（1-C1）;监狱 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投标人对所投产品技术参数逐条进行明确响应，并提供相关证明材料。 完全满足招标文件5项产品技术参数的得 20 分，每有1项产品技术参数负偏离扣 4 分，扣完为止。 备注： 1.证明材料要求：不论是否偏离，均应提供相关证明材料。各证明材料中的响应指标应保持一致，若不一致以最不利于技术参数响应的证明材料进行评审，未按要求提供证明材料视为负偏离。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投标人须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4.投标人需对所提供内容的真实性负责，如有虚假，将依法承担相应责任。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完整详细所投产品的合法来源渠道证明文件（包括但不限于销售协议、代理协议、原厂授权等），共5分，每缺少1项产品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投标人根据项目产品的特点提供完整科学的配送方案，从仓储、运输、派送等方面进行详细叙述。根据配送方案是否符合医用配送相关要求标准，是否能够保证运输安全及派送交接是否合理严谨等方面进行计分。 满足项目要求，无瑕疵：得10分；方案内容存在1处瑕疵：得8分；方案内容存在2处瑕疵：得6分；方案内容存在3处瑕疵：得4分；方案内容存在4处瑕疵：得2分； 未提供方案或不满足招标文件要求或内容存在5处及以上瑕疵：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仓储及设施设备</w:t>
            </w:r>
          </w:p>
        </w:tc>
        <w:tc>
          <w:tcPr>
            <w:tcW w:type="dxa" w:w="2492"/>
          </w:tcPr>
          <w:p>
            <w:pPr>
              <w:pStyle w:val="null3"/>
            </w:pPr>
            <w:r>
              <w:rPr>
                <w:rFonts w:ascii="仿宋_GB2312" w:hAnsi="仿宋_GB2312" w:cs="仿宋_GB2312" w:eastAsia="仿宋_GB2312"/>
              </w:rPr>
              <w:t>提供与投标产品相适应的仓储及设施设备，经营低温冷藏及特殊产品的应具有完整的冷链储运系统及安全保障；备货充足能确保正常供应，提供相关证明材料。材料完整、阐述条理清晰、设施齐全能确保项目顺利实施得5分；材料、设施证明材料基本完整，对产品供应有一定保障得3分；材料、设施证明材料不完善，对产品供应基本保障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投标人针对本项目提供质量保障方案，根据投标人是否有完善的质量保障体系、质量管理制度及质量保障措施方法等方面进行评审。 满足项目要求，无瑕疵：得10分；方案内容存在1处瑕疵：得8分；方案内容存在2处瑕疵：得6分；方案内容存在3处瑕疵：得4分；方案内容存在4处瑕疵：得2分；未提供方案或不满足招标文件要求或内容存在5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投标人有完善的管理体系</w:t>
            </w:r>
          </w:p>
        </w:tc>
        <w:tc>
          <w:tcPr>
            <w:tcW w:type="dxa" w:w="2492"/>
          </w:tcPr>
          <w:p>
            <w:pPr>
              <w:pStyle w:val="null3"/>
            </w:pPr>
            <w:r>
              <w:rPr>
                <w:rFonts w:ascii="仿宋_GB2312" w:hAnsi="仿宋_GB2312" w:cs="仿宋_GB2312" w:eastAsia="仿宋_GB2312"/>
              </w:rPr>
              <w:t>投标人有完善的管理体系，针对本项目的实施组织机构、人员安排有具体方案，分工合理、责任明确，能确保项目顺利实施。方案科学合理、安全可行，完全满足项目要求的得5分；方案有一定的可行性，基本能满足项目要求的得3分（含）；方案有较多欠缺的得1分。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针对本项目提供具体详细的售后服务方案，方案总体思路清晰，工作安排合理，涵盖内容全面，针对性强得5分； 提供具体详细的服务方案，方案总体思路清晰，工作安排合理，涵盖内容全面，针对性欠缺得3分； 提供实施方案涵盖内容不全面，无法保证服务质量得1分；未提供得0分。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针对本项目特点提出可能出现的紧急事项并提出应对措施，如在运输中发生突发状况的合理解决措施。 满足项目要求，无瑕疵：得4分； 方案内容存在1处瑕疵：得3分； 方案内容存在2处瑕疵：得2分；方案内容存在3处瑕疵：得1分；未提供方案或不满足磋商文件要求或内容存在4处及以上瑕疵：得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投标人提供自2022年10月1日至今投标产品业绩，每提供一个项目合同得2分，最高得6分。 注：须提供中标/成交公示网页截图或合同清晰扫描件或中标通知书扫描件。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 报价×（1-C1）;监狱 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