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版本号：KY2025-3-09820251120001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2025年信息安全监测服务项目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KY2025-3-098</w:t>
      </w:r>
      <w:r>
        <w:br/>
      </w:r>
      <w:r>
        <w:br/>
      </w:r>
      <w:r>
        <w:br/>
      </w:r>
    </w:p>
    <w:p>
      <w:pPr>
        <w:pStyle w:val="null3"/>
        <w:jc w:val="center"/>
        <w:outlineLvl w:val="2"/>
      </w:pPr>
      <w:r>
        <w:rPr>
          <w:rFonts w:ascii="仿宋_GB2312" w:hAnsi="仿宋_GB2312" w:cs="仿宋_GB2312" w:eastAsia="仿宋_GB2312"/>
          <w:sz w:val="28"/>
          <w:b/>
        </w:rPr>
        <w:t>陕西省教育考试院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陕西省教育考试院</w:t>
      </w:r>
      <w:r>
        <w:rPr>
          <w:rFonts w:ascii="仿宋_GB2312" w:hAnsi="仿宋_GB2312" w:cs="仿宋_GB2312" w:eastAsia="仿宋_GB2312"/>
        </w:rPr>
        <w:t>委托，拟对</w:t>
      </w:r>
      <w:r>
        <w:rPr>
          <w:rFonts w:ascii="仿宋_GB2312" w:hAnsi="仿宋_GB2312" w:cs="仿宋_GB2312" w:eastAsia="仿宋_GB2312"/>
        </w:rPr>
        <w:t>2025年信息安全监测服务项目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KY2025-3-098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2025年信息安全监测服务项目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保障陕西省教育考试院的重要网络及信息系统安全运行，进一步增强陕西省教育考试院的网络安全防护体系，增强网络安全服务保障机制，引进具有高水平资质的网络信息安全专业团队，结合我院的实际情况，对考试院信息系统开展信息安全监测及防护服务工作,简要技术要求、用途：通过购买第三方安全服务，为考试院信息系统提供资产管理、暴露面检测、渗透测试、漏洞扫描、重要时期安全保障服务、终端安全防护、全年7*24小时安全监测等安全服务，实现日常网络安全保障、风险感知与评估、快速应急响应、重大活动保障等能力建设，保障考试院信息系统安全平稳运行，无重大网络安全事件发生，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2025年1月至今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7、法定代表人授权书：法定代表人授权书及被授权人身份证复印件。（法定代表人直接磋商只须提交其身份证明书）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陕西省教育考试院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陕西省西安市含光北路40号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029-85221771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张娜、李瑞洁、戈迪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029-81206622/81206633-835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银行账号：86113010750181502000580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成交金额向采购代理机构交纳成交服务费，交费金额参照国家计委颁布的《招标代理服务收费管理暂行办法》（计价格[2002]1980号）及发改办价格[2003]857号文件的规定标准收取。2、本项目成交服务费按服务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陕西省教育考试院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陕西省教育考试院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陕西省教育考试院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联系人：张娜、李瑞洁、戈迪</w:t>
      </w:r>
    </w:p>
    <w:p>
      <w:pPr>
        <w:pStyle w:val="null3"/>
      </w:pPr>
      <w:r>
        <w:rPr>
          <w:rFonts w:ascii="仿宋_GB2312" w:hAnsi="仿宋_GB2312" w:cs="仿宋_GB2312" w:eastAsia="仿宋_GB2312"/>
        </w:rPr>
        <w:t>联系电话：029-81206622/81206633-835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陕西省教育考试院</w:t>
      </w:r>
      <w:r>
        <w:rPr>
          <w:rFonts w:ascii="仿宋_GB2312" w:hAnsi="仿宋_GB2312" w:cs="仿宋_GB2312" w:eastAsia="仿宋_GB2312"/>
        </w:rPr>
        <w:t>2025年信息安全监测服务项目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信息安全监测服务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标的名称：信息安全监测服务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1.资产管理服务</w:t>
            </w:r>
          </w:p>
          <w:p>
            <w:pPr>
              <w:pStyle w:val="null3"/>
            </w:pPr>
            <w:r>
              <w:rPr>
                <w:rFonts w:ascii="仿宋_GB2312" w:hAnsi="仿宋_GB2312" w:cs="仿宋_GB2312" w:eastAsia="仿宋_GB2312"/>
              </w:rPr>
              <w:t>应对考试院所有业务资产包括物理主机、虚拟机、业务端口等细致全面的资产梳理工作。包括收集资产信息、资产详细属性，形成资产清单，将资产属性录入已有态势感知的资产管理模块。资产梳理频率服务期内不少于</w:t>
            </w:r>
            <w:r>
              <w:rPr>
                <w:rFonts w:ascii="仿宋_GB2312" w:hAnsi="仿宋_GB2312" w:cs="仿宋_GB2312" w:eastAsia="仿宋_GB2312"/>
              </w:rPr>
              <w:t>2次。</w:t>
            </w:r>
          </w:p>
          <w:p>
            <w:pPr>
              <w:pStyle w:val="null3"/>
            </w:pPr>
            <w:r>
              <w:rPr>
                <w:rFonts w:ascii="仿宋_GB2312" w:hAnsi="仿宋_GB2312" w:cs="仿宋_GB2312" w:eastAsia="仿宋_GB2312"/>
              </w:rPr>
              <w:t>基于已有态势感知平台工具、相关资产探测工具，结合已有资产台账等资产数据来源，通过人工服务梳理当前所有资产的分布类型、数量、资产详细属性等，形成全面的资产清单。通过人工服务协助摸清家底，基于已有态势感知平台的资产管理模块建立资产动态台账，掌握资产归属和详情，消除资产管理盲区。</w:t>
            </w:r>
          </w:p>
          <w:p>
            <w:pPr>
              <w:pStyle w:val="null3"/>
            </w:pPr>
            <w:r>
              <w:rPr>
                <w:rFonts w:ascii="仿宋_GB2312" w:hAnsi="仿宋_GB2312" w:cs="仿宋_GB2312" w:eastAsia="仿宋_GB2312"/>
                <w:sz w:val="21"/>
              </w:rPr>
              <w:t>完成资产管理服务后，输出《资产统计清单》，清单至少包括资产名称、</w:t>
            </w:r>
            <w:r>
              <w:rPr>
                <w:rFonts w:ascii="仿宋_GB2312" w:hAnsi="仿宋_GB2312" w:cs="仿宋_GB2312" w:eastAsia="仿宋_GB2312"/>
                <w:sz w:val="21"/>
              </w:rPr>
              <w:t>IP、用途、责任人等信息，协助考试院进行资产台账登记，并录入已有态势感知平台。</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2.暴露面检测服务</w:t>
            </w:r>
          </w:p>
          <w:p>
            <w:pPr>
              <w:pStyle w:val="null3"/>
            </w:pPr>
            <w:r>
              <w:rPr>
                <w:rFonts w:ascii="仿宋_GB2312" w:hAnsi="仿宋_GB2312" w:cs="仿宋_GB2312" w:eastAsia="仿宋_GB2312"/>
              </w:rPr>
              <w:t>对考试院暴露在互联网上的资产进行梳理，包括但不限于域名、端口、</w:t>
            </w:r>
            <w:r>
              <w:rPr>
                <w:rFonts w:ascii="仿宋_GB2312" w:hAnsi="仿宋_GB2312" w:cs="仿宋_GB2312" w:eastAsia="仿宋_GB2312"/>
              </w:rPr>
              <w:t>IP等，对发现的高危风险资产进行关停或协助整改，以减少资产在互联网上的暴露风险，降低被黑客攻破的可能。服务期内开展不少于2次，每次不少于25个互联网系统资产。</w:t>
            </w:r>
          </w:p>
          <w:p>
            <w:pPr>
              <w:pStyle w:val="null3"/>
            </w:pPr>
            <w:r>
              <w:rPr>
                <w:rFonts w:ascii="仿宋_GB2312" w:hAnsi="仿宋_GB2312" w:cs="仿宋_GB2312" w:eastAsia="仿宋_GB2312"/>
              </w:rPr>
              <w:t>针对考试院互联网资产（互联网域名、端口、</w:t>
            </w:r>
            <w:r>
              <w:rPr>
                <w:rFonts w:ascii="仿宋_GB2312" w:hAnsi="仿宋_GB2312" w:cs="仿宋_GB2312" w:eastAsia="仿宋_GB2312"/>
              </w:rPr>
              <w:t>IP等）开展暴露面检测，评估互联网资产的安全暴露风险，基于检测结果协助处置高危风险资产，减少互联网资产风险隐患。</w:t>
            </w:r>
          </w:p>
          <w:p>
            <w:pPr>
              <w:pStyle w:val="null3"/>
            </w:pPr>
            <w:r>
              <w:rPr>
                <w:rFonts w:ascii="仿宋_GB2312" w:hAnsi="仿宋_GB2312" w:cs="仿宋_GB2312" w:eastAsia="仿宋_GB2312"/>
                <w:sz w:val="21"/>
              </w:rPr>
              <w:t>在确保不影响业务稳定性的情况下开展检测工作，针对所有互联网资产进行检测，提供所有互联网资产的测绘结果数据，人工对检测结果进行分析，针对高危资产提供安全建议。</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提供资产暴露面检测辅助工具，辅</w:t>
            </w:r>
            <w:r>
              <w:rPr>
                <w:rFonts w:ascii="仿宋_GB2312" w:hAnsi="仿宋_GB2312" w:cs="仿宋_GB2312" w:eastAsia="仿宋_GB2312"/>
                <w:sz w:val="21"/>
              </w:rPr>
              <w:t>助完成资产检测，工具可针对</w:t>
            </w:r>
            <w:r>
              <w:rPr>
                <w:rFonts w:ascii="仿宋_GB2312" w:hAnsi="仿宋_GB2312" w:cs="仿宋_GB2312" w:eastAsia="仿宋_GB2312"/>
                <w:sz w:val="21"/>
              </w:rPr>
              <w:t>IP地址、域名、端口服务等进行检测，对业务资产的域名备案、子域名、运营商、IP、端口、地理位置、返回标题、历史解析记录、Web框架等信息进行在线采集。（需按本条要求提供完整的相关证明材料并加盖公章，包括但不限于功能截图、检测报告、官网截图等）</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rPr>
              <w:t>完成检测服务工作后，输出《互联网暴露面检测报告》和《互联网资产清单》，暴露面检测报告包括检测到的高危资产列表及详情、安全建议等，互联网资产清单包括资产</w:t>
            </w:r>
            <w:r>
              <w:rPr>
                <w:rFonts w:ascii="仿宋_GB2312" w:hAnsi="仿宋_GB2312" w:cs="仿宋_GB2312" w:eastAsia="仿宋_GB2312"/>
                <w:sz w:val="21"/>
              </w:rPr>
              <w:t>URL、IP地址、资产名称、开放端口、返回标题等信息。</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3.渗透测试服务</w:t>
            </w:r>
          </w:p>
          <w:p>
            <w:pPr>
              <w:pStyle w:val="null3"/>
            </w:pPr>
            <w:r>
              <w:rPr>
                <w:rFonts w:ascii="仿宋_GB2312" w:hAnsi="仿宋_GB2312" w:cs="仿宋_GB2312" w:eastAsia="仿宋_GB2312"/>
              </w:rPr>
              <w:t>服务商以模仿黑客工具的方式，对考试院的重要业务进行测试，基于常见的渗透路径、测试方法，尽可能多地发现测试对象的各类安全风险、漏洞问题，并提供相应的修复建议，在整改修复后，完成复测。服务期内提供不少于</w:t>
            </w:r>
            <w:r>
              <w:rPr>
                <w:rFonts w:ascii="仿宋_GB2312" w:hAnsi="仿宋_GB2312" w:cs="仿宋_GB2312" w:eastAsia="仿宋_GB2312"/>
              </w:rPr>
              <w:t>30个系统的测试服务。</w:t>
            </w:r>
          </w:p>
          <w:p>
            <w:pPr>
              <w:pStyle w:val="null3"/>
            </w:pPr>
            <w:r>
              <w:rPr>
                <w:rFonts w:ascii="仿宋_GB2312" w:hAnsi="仿宋_GB2312" w:cs="仿宋_GB2312" w:eastAsia="仿宋_GB2312"/>
              </w:rPr>
              <w:t>在得到考试院授权的前提下，服务商需通过模拟黑客使用的工具、攻击方法对</w:t>
            </w:r>
            <w:r>
              <w:rPr>
                <w:rFonts w:ascii="仿宋_GB2312" w:hAnsi="仿宋_GB2312" w:cs="仿宋_GB2312" w:eastAsia="仿宋_GB2312"/>
              </w:rPr>
              <w:t>存量重要系统、业务变更、新上线业务及重大业务前进行测试，采用</w:t>
            </w:r>
            <w:r>
              <w:rPr>
                <w:rFonts w:ascii="仿宋_GB2312" w:hAnsi="仿宋_GB2312" w:cs="仿宋_GB2312" w:eastAsia="仿宋_GB2312"/>
              </w:rPr>
              <w:t>各种手段模拟真实的安全攻击，从而发现黑客入侵信息系统的潜在可能途径，挖掘测试目标存在的安全隐患、漏洞，查找系统存在的安全隐患点，并验证每个安全隐患点的可利用程度。根据测试结果输出渗透测试报告，针对每个安全风险进行详细描述，并给出相关的安全建议。</w:t>
            </w:r>
          </w:p>
          <w:p>
            <w:pPr>
              <w:pStyle w:val="null3"/>
            </w:pPr>
            <w:r>
              <w:rPr>
                <w:rFonts w:ascii="仿宋_GB2312" w:hAnsi="仿宋_GB2312" w:cs="仿宋_GB2312" w:eastAsia="仿宋_GB2312"/>
              </w:rPr>
              <w:t>渗透测试内容包括但不限于：信息收集类、配置管理类、认证类、会话类、授权类、数据验证类、系统应用漏洞等。</w:t>
            </w:r>
          </w:p>
          <w:p>
            <w:pPr>
              <w:pStyle w:val="null3"/>
            </w:pPr>
            <w:r>
              <w:rPr>
                <w:rFonts w:ascii="仿宋_GB2312" w:hAnsi="仿宋_GB2312" w:cs="仿宋_GB2312" w:eastAsia="仿宋_GB2312"/>
              </w:rPr>
              <w:t>在修复安全风险问题后，完成风险复测验证，确保渗透的安全风险问题完全修复。</w:t>
            </w:r>
          </w:p>
          <w:p>
            <w:pPr>
              <w:pStyle w:val="null3"/>
            </w:pPr>
            <w:r>
              <w:rPr>
                <w:rFonts w:ascii="仿宋_GB2312" w:hAnsi="仿宋_GB2312" w:cs="仿宋_GB2312" w:eastAsia="仿宋_GB2312"/>
                <w:sz w:val="21"/>
              </w:rPr>
              <w:t>完成渗透测试工作后</w:t>
            </w:r>
            <w:r>
              <w:rPr>
                <w:rFonts w:ascii="仿宋_GB2312" w:hAnsi="仿宋_GB2312" w:cs="仿宋_GB2312" w:eastAsia="仿宋_GB2312"/>
                <w:sz w:val="21"/>
              </w:rPr>
              <w:t>5个工作日内输出《渗透测试报告》。</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4.漏洞扫描服务</w:t>
            </w:r>
          </w:p>
          <w:p>
            <w:pPr>
              <w:pStyle w:val="null3"/>
            </w:pPr>
            <w:r>
              <w:rPr>
                <w:rFonts w:ascii="仿宋_GB2312" w:hAnsi="仿宋_GB2312" w:cs="仿宋_GB2312" w:eastAsia="仿宋_GB2312"/>
              </w:rPr>
              <w:t>提供漏洞扫描服务，对考试院的所有资产或用户指定资产开展漏洞扫描工作，并出具相应的扫描报告，对用户有疑问的漏洞进行答疑解释，并提供针对性的漏洞修复建议，对发现的高危漏洞风险进行闭环跟踪，在业务人员修复漏洞后进行漏洞复测，并留存相应的复测记录。</w:t>
            </w:r>
          </w:p>
          <w:p>
            <w:pPr>
              <w:pStyle w:val="null3"/>
            </w:pPr>
            <w:r>
              <w:rPr>
                <w:rFonts w:ascii="仿宋_GB2312" w:hAnsi="仿宋_GB2312" w:cs="仿宋_GB2312" w:eastAsia="仿宋_GB2312"/>
                <w:sz w:val="21"/>
              </w:rPr>
              <w:t>服务期内至</w:t>
            </w:r>
            <w:r>
              <w:rPr>
                <w:rFonts w:ascii="仿宋_GB2312" w:hAnsi="仿宋_GB2312" w:cs="仿宋_GB2312" w:eastAsia="仿宋_GB2312"/>
                <w:sz w:val="21"/>
              </w:rPr>
              <w:t>少每年完成</w:t>
            </w:r>
            <w:r>
              <w:rPr>
                <w:rFonts w:ascii="仿宋_GB2312" w:hAnsi="仿宋_GB2312" w:cs="仿宋_GB2312" w:eastAsia="仿宋_GB2312"/>
                <w:sz w:val="21"/>
              </w:rPr>
              <w:t>10次全量资产的</w:t>
            </w:r>
            <w:r>
              <w:rPr>
                <w:rFonts w:ascii="仿宋_GB2312" w:hAnsi="仿宋_GB2312" w:cs="仿宋_GB2312" w:eastAsia="仿宋_GB2312"/>
                <w:sz w:val="21"/>
              </w:rPr>
              <w:t>漏洞扫描工作，以及按考试院需求提供不限次、不定期地针对指定资产、组件等提供专项漏洞扫描，每次扫描结束后输出相应的《漏洞扫描报告》，并记录复测结果。</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5.主机安全防护服务</w:t>
            </w:r>
          </w:p>
          <w:p>
            <w:pPr>
              <w:pStyle w:val="null3"/>
            </w:pPr>
            <w:r>
              <w:rPr>
                <w:rFonts w:ascii="仿宋_GB2312" w:hAnsi="仿宋_GB2312" w:cs="仿宋_GB2312" w:eastAsia="仿宋_GB2312"/>
                <w:sz w:val="21"/>
              </w:rPr>
              <w:t>提供主机病毒查杀、网马查杀、补丁管理、微隔离、主动防御功能，包括已知和未知类型勒索病毒检测查杀</w:t>
            </w:r>
            <w:r>
              <w:rPr>
                <w:rFonts w:ascii="仿宋_GB2312" w:hAnsi="仿宋_GB2312" w:cs="仿宋_GB2312" w:eastAsia="仿宋_GB2312"/>
                <w:sz w:val="21"/>
              </w:rPr>
              <w:t>,挖矿防御查杀，高级威胁防御，渗透攻击防护，系统登录防护，防暴力破解，进程防御，WEB应用防护，文件访问监控等功能。（需按本条要求提供完整的相关证明材料并加盖公章，包括但不限于功能截图、检测报告、官网截图等）</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提供服务器、</w:t>
            </w:r>
            <w:r>
              <w:rPr>
                <w:rFonts w:ascii="仿宋_GB2312" w:hAnsi="仿宋_GB2312" w:cs="仿宋_GB2312" w:eastAsia="仿宋_GB2312"/>
              </w:rPr>
              <w:t>PC终端安全防护服务，针对业务服务器和PC终端提供防护，提供的安全防护软件需兼容国产化环境（支持服务器版、PC终端国产操作系统），</w:t>
            </w:r>
            <w:r>
              <w:rPr>
                <w:rFonts w:ascii="仿宋_GB2312" w:hAnsi="仿宋_GB2312" w:cs="仿宋_GB2312" w:eastAsia="仿宋_GB2312"/>
              </w:rPr>
              <w:t>提供不少于</w:t>
            </w:r>
            <w:r>
              <w:rPr>
                <w:rFonts w:ascii="仿宋_GB2312" w:hAnsi="仿宋_GB2312" w:cs="仿宋_GB2312" w:eastAsia="仿宋_GB2312"/>
              </w:rPr>
              <w:t>200个服务器（包括虚拟主机）、2</w:t>
            </w:r>
            <w:r>
              <w:rPr>
                <w:rFonts w:ascii="仿宋_GB2312" w:hAnsi="仿宋_GB2312" w:cs="仿宋_GB2312" w:eastAsia="仿宋_GB2312"/>
              </w:rPr>
              <w:t>00个PC终端的防护能力。</w:t>
            </w:r>
          </w:p>
          <w:p>
            <w:pPr>
              <w:pStyle w:val="null3"/>
            </w:pPr>
            <w:r>
              <w:rPr>
                <w:rFonts w:ascii="仿宋_GB2312" w:hAnsi="仿宋_GB2312" w:cs="仿宋_GB2312" w:eastAsia="仿宋_GB2312"/>
              </w:rPr>
              <w:t>资产管理：可针对服务器、</w:t>
            </w:r>
            <w:r>
              <w:rPr>
                <w:rFonts w:ascii="仿宋_GB2312" w:hAnsi="仿宋_GB2312" w:cs="仿宋_GB2312" w:eastAsia="仿宋_GB2312"/>
              </w:rPr>
              <w:t>PC终端进行资产管理，至少包括终端信息、进程管理、性能监控、账号管理、应用管理、启动项管理等。</w:t>
            </w:r>
          </w:p>
          <w:p>
            <w:pPr>
              <w:pStyle w:val="null3"/>
            </w:pPr>
            <w:r>
              <w:rPr>
                <w:rFonts w:ascii="仿宋_GB2312" w:hAnsi="仿宋_GB2312" w:cs="仿宋_GB2312" w:eastAsia="仿宋_GB2312"/>
              </w:rPr>
              <w:t>防病毒：具备病毒实时防护和扫描能力，支持自定义病毒查杀。支持常见内存马查杀。</w:t>
            </w:r>
          </w:p>
          <w:p>
            <w:pPr>
              <w:pStyle w:val="null3"/>
            </w:pPr>
            <w:r>
              <w:rPr>
                <w:rFonts w:ascii="仿宋_GB2312" w:hAnsi="仿宋_GB2312" w:cs="仿宋_GB2312" w:eastAsia="仿宋_GB2312"/>
              </w:rPr>
              <w:t>漏洞管理：可查看和管理所有服务器和</w:t>
            </w:r>
            <w:r>
              <w:rPr>
                <w:rFonts w:ascii="仿宋_GB2312" w:hAnsi="仿宋_GB2312" w:cs="仿宋_GB2312" w:eastAsia="仿宋_GB2312"/>
              </w:rPr>
              <w:t>PC终端的漏洞情况，包括但不限于操作系统、数据库、Web组件漏洞，并进行漏洞结果查看和导出。</w:t>
            </w:r>
          </w:p>
          <w:p>
            <w:pPr>
              <w:pStyle w:val="null3"/>
            </w:pPr>
            <w:r>
              <w:rPr>
                <w:rFonts w:ascii="仿宋_GB2312" w:hAnsi="仿宋_GB2312" w:cs="仿宋_GB2312" w:eastAsia="仿宋_GB2312"/>
                <w:sz w:val="21"/>
              </w:rPr>
              <w:t>访问控制：可针对每台终端或终端组、业务组提供细粒度的访问控制能力，可基于黑白名单或基于</w:t>
            </w:r>
            <w:r>
              <w:rPr>
                <w:rFonts w:ascii="仿宋_GB2312" w:hAnsi="仿宋_GB2312" w:cs="仿宋_GB2312" w:eastAsia="仿宋_GB2312"/>
                <w:sz w:val="21"/>
              </w:rPr>
              <w:t>IP地址、端口、协议、流量方向等进行访问控制。</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勒索</w:t>
            </w:r>
            <w:r>
              <w:rPr>
                <w:rFonts w:ascii="仿宋_GB2312" w:hAnsi="仿宋_GB2312" w:cs="仿宋_GB2312" w:eastAsia="仿宋_GB2312"/>
                <w:sz w:val="21"/>
              </w:rPr>
              <w:t>/挖矿防御：提供勒索病毒、挖矿等常见攻击的防护能力，支持勒索风险评估，支持勒索病毒免疫，支持进行勒索病毒和挖矿病毒的拦截阻断。（需按本条要求提供完整的相关证明材料并加盖公章，包括但不限于功能截图、检测报告、官网截图等）</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基线安全：提供对操作系统、数据库、中间件等安全基线的安全检查能力，并针对不通过项提供安全建议。</w:t>
            </w:r>
          </w:p>
          <w:p>
            <w:pPr>
              <w:pStyle w:val="null3"/>
            </w:pPr>
            <w:r>
              <w:rPr>
                <w:rFonts w:ascii="仿宋_GB2312" w:hAnsi="仿宋_GB2312" w:cs="仿宋_GB2312" w:eastAsia="仿宋_GB2312"/>
                <w:sz w:val="21"/>
              </w:rPr>
              <w:t>威胁情报：可对服务器、</w:t>
            </w:r>
            <w:r>
              <w:rPr>
                <w:rFonts w:ascii="仿宋_GB2312" w:hAnsi="仿宋_GB2312" w:cs="仿宋_GB2312" w:eastAsia="仿宋_GB2312"/>
                <w:sz w:val="21"/>
              </w:rPr>
              <w:t>PC终端访问的IP、域名、存在的可疑文件等进行威胁情报匹配检测。</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风险自评估：可评估自查服务器和</w:t>
            </w:r>
            <w:r>
              <w:rPr>
                <w:rFonts w:ascii="仿宋_GB2312" w:hAnsi="仿宋_GB2312" w:cs="仿宋_GB2312" w:eastAsia="仿宋_GB2312"/>
                <w:sz w:val="21"/>
              </w:rPr>
              <w:t>PC终端的安全风险，包括但不限于弱口令、高危漏洞、风险进程、高危端口、风险账户等评估自查，并标示安全风险明细。（需按本条要求提供完整的相关证明材料并加盖公章，包括但不限于功能截图、检测报告、官网截图等）</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黑客入侵检测防护：可针对黑客入侵行为进行检测、告警和阻断，包括但不限于常见的扫描、命令执行、提权、反弹</w:t>
            </w:r>
            <w:r>
              <w:rPr>
                <w:rFonts w:ascii="仿宋_GB2312" w:hAnsi="仿宋_GB2312" w:cs="仿宋_GB2312" w:eastAsia="仿宋_GB2312"/>
                <w:sz w:val="21"/>
              </w:rPr>
              <w:t>Shell、删除痕迹等行为，可查看攻击详情，细粒度到文件目录、进程和命令级。（需按本条要求提供完整的相关证明材料并加盖公章，包括但不限于功能截图、检测报告、官网截图等）</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sz w:val="21"/>
              </w:rPr>
              <w:t>每季度输出《主机安全防护服务报告》，服务期内不少于</w:t>
            </w:r>
            <w:r>
              <w:rPr>
                <w:rFonts w:ascii="仿宋_GB2312" w:hAnsi="仿宋_GB2312" w:cs="仿宋_GB2312" w:eastAsia="仿宋_GB2312"/>
                <w:sz w:val="21"/>
              </w:rPr>
              <w:t>4份，针对当季度的安全防护服务情况进行汇总分析。</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6.安全托管运营服务</w:t>
            </w:r>
          </w:p>
          <w:p>
            <w:pPr>
              <w:pStyle w:val="null3"/>
            </w:pPr>
            <w:r>
              <w:rPr>
                <w:rFonts w:ascii="仿宋_GB2312" w:hAnsi="仿宋_GB2312" w:cs="仿宋_GB2312" w:eastAsia="仿宋_GB2312"/>
              </w:rPr>
              <w:t>提供全年</w:t>
            </w:r>
            <w:r>
              <w:rPr>
                <w:rFonts w:ascii="仿宋_GB2312" w:hAnsi="仿宋_GB2312" w:cs="仿宋_GB2312" w:eastAsia="仿宋_GB2312"/>
              </w:rPr>
              <w:t>7×24小时安全托管运营服务，基于现场已有的态势感知平台对考试院相关安全风险、威胁等进行远程实时监测和安全运营，安全运营重要资产数不少于100个。</w:t>
            </w:r>
          </w:p>
          <w:p>
            <w:pPr>
              <w:pStyle w:val="null3"/>
            </w:pPr>
            <w:r>
              <w:rPr>
                <w:rFonts w:ascii="仿宋_GB2312" w:hAnsi="仿宋_GB2312" w:cs="仿宋_GB2312" w:eastAsia="仿宋_GB2312"/>
              </w:rPr>
              <w:t>面向考试院的云网基础设施、业务系统提供远程安全监测分析能力，对发现的安全风险进行专业人工分析、验证后，在考试院指定的内部工作群发布安全风险提醒，由驻场人员辅助进行风险处置，对每个风险需完成风险提醒、处置、反馈、验证归档的闭环管理，在处置完成后，进行风险复测验证，确保风险修复闭环，对因客观原因无法处置的，应尽可能采取措施降低风险，并进行记录归档。</w:t>
            </w:r>
          </w:p>
          <w:p>
            <w:pPr>
              <w:pStyle w:val="null3"/>
            </w:pPr>
            <w:r>
              <w:rPr>
                <w:rFonts w:ascii="仿宋_GB2312" w:hAnsi="仿宋_GB2312" w:cs="仿宋_GB2312" w:eastAsia="仿宋_GB2312"/>
                <w:sz w:val="21"/>
              </w:rPr>
              <w:t>每月输出《安全托管运营服务报告》，服务期内不少于</w:t>
            </w:r>
            <w:r>
              <w:rPr>
                <w:rFonts w:ascii="仿宋_GB2312" w:hAnsi="仿宋_GB2312" w:cs="仿宋_GB2312" w:eastAsia="仿宋_GB2312"/>
                <w:sz w:val="21"/>
              </w:rPr>
              <w:t>12份，针对当月的安全运营分析情况进行汇总分析。</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7.代码审计服务</w:t>
            </w:r>
          </w:p>
          <w:p>
            <w:pPr>
              <w:pStyle w:val="null3"/>
            </w:pPr>
            <w:r>
              <w:rPr>
                <w:rFonts w:ascii="仿宋_GB2312" w:hAnsi="仿宋_GB2312" w:cs="仿宋_GB2312" w:eastAsia="仿宋_GB2312"/>
              </w:rPr>
              <w:t>提供代码审计服务，对重要业务的程序源代码逐条进行检查、分析，发现其中的错误信息、安全隐患和规范性缺陷问题，以及由这些问题引发的安全漏洞，提供代码优化建议。服务期内至少提供</w:t>
            </w:r>
            <w:r>
              <w:rPr>
                <w:rFonts w:ascii="仿宋_GB2312" w:hAnsi="仿宋_GB2312" w:cs="仿宋_GB2312" w:eastAsia="仿宋_GB2312"/>
              </w:rPr>
              <w:t>1次代码审计服务，审计工作量不少于100万行代码。</w:t>
            </w:r>
          </w:p>
          <w:p>
            <w:pPr>
              <w:pStyle w:val="null3"/>
            </w:pPr>
            <w:r>
              <w:rPr>
                <w:rFonts w:ascii="仿宋_GB2312" w:hAnsi="仿宋_GB2312" w:cs="仿宋_GB2312" w:eastAsia="仿宋_GB2312"/>
              </w:rPr>
              <w:t>在得到考试院授权的前提下，服务商对存量系统代码或新上线功能代码进行安全审计，采用工具扫描和人工分析确认相结合的方式，挖掘当前代码中存在的安全缺陷以及规范性缺陷。对被测系统的开发语言、框架、代码漏洞、逻辑结构缺陷、代码缺陷等进行分析，审计内容包括但不限于输入验证、身份鉴别、授权管理、安全加密、错误处理、日志记录、逻辑结构分析等方面，发现源代码存在的安全漏洞及代码质量问题，出具源代码审计报告，并提供修复建议。</w:t>
            </w:r>
          </w:p>
          <w:p>
            <w:pPr>
              <w:pStyle w:val="null3"/>
            </w:pPr>
            <w:r>
              <w:rPr>
                <w:rFonts w:ascii="仿宋_GB2312" w:hAnsi="仿宋_GB2312" w:cs="仿宋_GB2312" w:eastAsia="仿宋_GB2312"/>
              </w:rPr>
              <w:t>协助开发人员修复安全问题，在业务方修复代码安全风险问题后，完成复测，确保审计出的安全风险问题完全修复。对因客观原因暂时无法修复的问题，给出安全建议，协助进行风险规避或降低，并记录。</w:t>
            </w:r>
          </w:p>
          <w:p>
            <w:pPr>
              <w:pStyle w:val="null3"/>
            </w:pPr>
            <w:r>
              <w:rPr>
                <w:rFonts w:ascii="仿宋_GB2312" w:hAnsi="仿宋_GB2312" w:cs="仿宋_GB2312" w:eastAsia="仿宋_GB2312"/>
                <w:sz w:val="21"/>
              </w:rPr>
              <w:t>完成审计工作后</w:t>
            </w:r>
            <w:r>
              <w:rPr>
                <w:rFonts w:ascii="仿宋_GB2312" w:hAnsi="仿宋_GB2312" w:cs="仿宋_GB2312" w:eastAsia="仿宋_GB2312"/>
                <w:sz w:val="21"/>
              </w:rPr>
              <w:t>10个工作日内输出《代码审计报告》。</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8</w:t>
            </w:r>
            <w:r>
              <w:rPr>
                <w:rFonts w:ascii="仿宋_GB2312" w:hAnsi="仿宋_GB2312" w:cs="仿宋_GB2312" w:eastAsia="仿宋_GB2312"/>
              </w:rPr>
              <w:t>.</w:t>
            </w:r>
            <w:r>
              <w:rPr>
                <w:rFonts w:ascii="仿宋_GB2312" w:hAnsi="仿宋_GB2312" w:cs="仿宋_GB2312" w:eastAsia="仿宋_GB2312"/>
              </w:rPr>
              <w:t>驻场运维服务（网络安全）</w:t>
            </w:r>
          </w:p>
          <w:p>
            <w:pPr>
              <w:pStyle w:val="null3"/>
            </w:pPr>
            <w:r>
              <w:rPr>
                <w:rFonts w:ascii="仿宋_GB2312" w:hAnsi="仿宋_GB2312" w:cs="仿宋_GB2312" w:eastAsia="仿宋_GB2312"/>
              </w:rPr>
              <w:t>服务期内为考试院提供全年</w:t>
            </w:r>
            <w:r>
              <w:rPr>
                <w:rFonts w:ascii="仿宋_GB2312" w:hAnsi="仿宋_GB2312" w:cs="仿宋_GB2312" w:eastAsia="仿宋_GB2312"/>
              </w:rPr>
              <w:t>1人5*8小时驻场保障服务，驻场技术人员完成现场已有安全设备、系统、平台和本项目服务工具的日常维护、管理、操作、故障处理等，保障设备的安全稳定运行，同时完成现场安全分析、响应、处置、协作等工作。</w:t>
            </w:r>
          </w:p>
          <w:p>
            <w:pPr>
              <w:pStyle w:val="null3"/>
            </w:pPr>
            <w:r>
              <w:rPr>
                <w:rFonts w:ascii="仿宋_GB2312" w:hAnsi="仿宋_GB2312" w:cs="仿宋_GB2312" w:eastAsia="仿宋_GB2312"/>
              </w:rPr>
              <w:t>协助考试院进行现场事务性工作的处理，现场配合完成各类重保和攻防演练期间业务系统的防护和监测工作。</w:t>
            </w:r>
          </w:p>
          <w:p>
            <w:pPr>
              <w:pStyle w:val="null3"/>
            </w:pPr>
            <w:r>
              <w:rPr>
                <w:rFonts w:ascii="仿宋_GB2312" w:hAnsi="仿宋_GB2312" w:cs="仿宋_GB2312" w:eastAsia="仿宋_GB2312"/>
              </w:rPr>
              <w:t>对考试院现场已有安全设备、系统、平台和本项目服务工具进行管理和日常维护、每月完成定期巡检和设备问题处理，每周更新特征库版本，并能根据考试院安全需求调整和优化安全策略。</w:t>
            </w:r>
          </w:p>
          <w:p>
            <w:pPr>
              <w:pStyle w:val="null3"/>
            </w:pPr>
            <w:r>
              <w:rPr>
                <w:rFonts w:ascii="仿宋_GB2312" w:hAnsi="仿宋_GB2312" w:cs="仿宋_GB2312" w:eastAsia="仿宋_GB2312"/>
              </w:rPr>
              <w:t>定期提供漏洞威胁情报和建议措施，按照实际情况及时提供威胁情报预警服务，并针对加固后的业务进行检查和测试，配合业务应用部门进行安全加固指导和复测。</w:t>
            </w:r>
          </w:p>
          <w:p>
            <w:pPr>
              <w:pStyle w:val="null3"/>
            </w:pPr>
            <w:r>
              <w:rPr>
                <w:rFonts w:ascii="仿宋_GB2312" w:hAnsi="仿宋_GB2312" w:cs="仿宋_GB2312" w:eastAsia="仿宋_GB2312"/>
              </w:rPr>
              <w:t>按照项目进度完成项目服务文档的整理和归档。</w:t>
            </w:r>
          </w:p>
          <w:p>
            <w:pPr>
              <w:pStyle w:val="null3"/>
            </w:pPr>
            <w:r>
              <w:rPr>
                <w:rFonts w:ascii="仿宋_GB2312" w:hAnsi="仿宋_GB2312" w:cs="仿宋_GB2312" w:eastAsia="仿宋_GB2312"/>
              </w:rPr>
              <w:t>完成考试院交办的其它事务性工作。</w:t>
            </w:r>
          </w:p>
          <w:p>
            <w:pPr>
              <w:pStyle w:val="null3"/>
            </w:pPr>
            <w:r>
              <w:rPr>
                <w:rFonts w:ascii="仿宋_GB2312" w:hAnsi="仿宋_GB2312" w:cs="仿宋_GB2312" w:eastAsia="仿宋_GB2312"/>
                <w:sz w:val="21"/>
              </w:rPr>
              <w:t>驻场运维服务成果要求包括但不限于《运维巡检报告》、《项目驻场周报</w:t>
            </w:r>
            <w:r>
              <w:rPr>
                <w:rFonts w:ascii="仿宋_GB2312" w:hAnsi="仿宋_GB2312" w:cs="仿宋_GB2312" w:eastAsia="仿宋_GB2312"/>
                <w:sz w:val="21"/>
              </w:rPr>
              <w:t>/月报》、《安全情报资讯》等。</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rPr>
              <w:t>9</w:t>
            </w:r>
            <w:r>
              <w:rPr>
                <w:rFonts w:ascii="仿宋_GB2312" w:hAnsi="仿宋_GB2312" w:cs="仿宋_GB2312" w:eastAsia="仿宋_GB2312"/>
              </w:rPr>
              <w:t>.</w:t>
            </w:r>
            <w:r>
              <w:rPr>
                <w:rFonts w:ascii="仿宋_GB2312" w:hAnsi="仿宋_GB2312" w:cs="仿宋_GB2312" w:eastAsia="仿宋_GB2312"/>
              </w:rPr>
              <w:t>重要时期安全保障服务</w:t>
            </w:r>
          </w:p>
          <w:p>
            <w:pPr>
              <w:pStyle w:val="null3"/>
            </w:pPr>
            <w:r>
              <w:rPr>
                <w:rFonts w:ascii="仿宋_GB2312" w:hAnsi="仿宋_GB2312" w:cs="仿宋_GB2312" w:eastAsia="仿宋_GB2312"/>
              </w:rPr>
              <w:t>服务商提供不少于</w:t>
            </w:r>
            <w:r>
              <w:rPr>
                <w:rFonts w:ascii="仿宋_GB2312" w:hAnsi="仿宋_GB2312" w:cs="仿宋_GB2312" w:eastAsia="仿宋_GB2312"/>
              </w:rPr>
              <w:t>2人的</w:t>
            </w:r>
            <w:r>
              <w:rPr>
                <w:rFonts w:ascii="仿宋_GB2312" w:hAnsi="仿宋_GB2312" w:cs="仿宋_GB2312" w:eastAsia="仿宋_GB2312"/>
              </w:rPr>
              <w:t>重大活动保障服务</w:t>
            </w:r>
            <w:r>
              <w:rPr>
                <w:rFonts w:ascii="仿宋_GB2312" w:hAnsi="仿宋_GB2312" w:cs="仿宋_GB2312" w:eastAsia="仿宋_GB2312"/>
              </w:rPr>
              <w:t>，</w:t>
            </w:r>
            <w:r>
              <w:rPr>
                <w:rFonts w:ascii="仿宋_GB2312" w:hAnsi="仿宋_GB2312" w:cs="仿宋_GB2312" w:eastAsia="仿宋_GB2312"/>
              </w:rPr>
              <w:t>在重大活动期间（两会、春节、国庆、各类考试时期）开展</w:t>
            </w:r>
            <w:r>
              <w:rPr>
                <w:rFonts w:ascii="仿宋_GB2312" w:hAnsi="仿宋_GB2312" w:cs="仿宋_GB2312" w:eastAsia="仿宋_GB2312"/>
              </w:rPr>
              <w:t>7*24小时安全保障工作，满足考试院在重要时期的安全保障要求，保障网络和业务的正常稳定运行。服务期内重保时间不少于五周。</w:t>
            </w:r>
          </w:p>
          <w:p>
            <w:pPr>
              <w:pStyle w:val="null3"/>
            </w:pPr>
            <w:r>
              <w:rPr>
                <w:rFonts w:ascii="仿宋_GB2312" w:hAnsi="仿宋_GB2312" w:cs="仿宋_GB2312" w:eastAsia="仿宋_GB2312"/>
              </w:rPr>
              <w:t>提供重保活动前风险摸排工作，自查摸排发现潜在的安全风险威胁等，同时对摸排出的风险问题进行跟进闭环。</w:t>
            </w:r>
          </w:p>
          <w:p>
            <w:pPr>
              <w:pStyle w:val="null3"/>
            </w:pPr>
            <w:r>
              <w:rPr>
                <w:rFonts w:ascii="仿宋_GB2312" w:hAnsi="仿宋_GB2312" w:cs="仿宋_GB2312" w:eastAsia="仿宋_GB2312"/>
              </w:rPr>
              <w:t>重保活动期间需</w:t>
            </w:r>
            <w:r>
              <w:rPr>
                <w:rFonts w:ascii="仿宋_GB2312" w:hAnsi="仿宋_GB2312" w:cs="仿宋_GB2312" w:eastAsia="仿宋_GB2312"/>
              </w:rPr>
              <w:t>7×24小时进行值守，完成策略梳理、安全监测、分析研判、应急处置等工作，一旦发生安全事件或风险第一时间进行处置响应，并同步考试院相关接口人，对高危事件即时响应。除现场驻场、重保现场值守保障人员外，服务商应提供后端技术团队进行支持，协助现场人员支撑和处置相关安全风险问题、疑难问题，完成重保目标。</w:t>
            </w:r>
          </w:p>
          <w:p>
            <w:pPr>
              <w:pStyle w:val="null3"/>
            </w:pPr>
            <w:r>
              <w:rPr>
                <w:rFonts w:ascii="仿宋_GB2312" w:hAnsi="仿宋_GB2312" w:cs="仿宋_GB2312" w:eastAsia="仿宋_GB2312"/>
                <w:sz w:val="21"/>
              </w:rPr>
              <w:t>在重保活动结束后</w:t>
            </w:r>
            <w:r>
              <w:rPr>
                <w:rFonts w:ascii="仿宋_GB2312" w:hAnsi="仿宋_GB2312" w:cs="仿宋_GB2312" w:eastAsia="仿宋_GB2312"/>
                <w:sz w:val="21"/>
              </w:rPr>
              <w:t>7个工作日内输出相应的《重要活动保障服务总结报告》，报告包含重保值守情况总结、保障总结等。</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rPr>
              <w:t>10</w:t>
            </w:r>
            <w:r>
              <w:rPr>
                <w:rFonts w:ascii="仿宋_GB2312" w:hAnsi="仿宋_GB2312" w:cs="仿宋_GB2312" w:eastAsia="仿宋_GB2312"/>
              </w:rPr>
              <w:t>.</w:t>
            </w:r>
            <w:r>
              <w:rPr>
                <w:rFonts w:ascii="仿宋_GB2312" w:hAnsi="仿宋_GB2312" w:cs="仿宋_GB2312" w:eastAsia="仿宋_GB2312"/>
              </w:rPr>
              <w:t>应急响应服务</w:t>
            </w:r>
          </w:p>
          <w:p>
            <w:pPr>
              <w:pStyle w:val="null3"/>
            </w:pPr>
            <w:r>
              <w:rPr>
                <w:rFonts w:ascii="仿宋_GB2312" w:hAnsi="仿宋_GB2312" w:cs="仿宋_GB2312" w:eastAsia="仿宋_GB2312"/>
              </w:rPr>
              <w:t>提供服务期内不限次数的应急响应服务，针对已发生重大安全事件提供事中、事后的取证、分析、溯源、恢复、加固等工作。</w:t>
            </w:r>
          </w:p>
          <w:p>
            <w:pPr>
              <w:pStyle w:val="null3"/>
            </w:pPr>
            <w:r>
              <w:rPr>
                <w:rFonts w:ascii="仿宋_GB2312" w:hAnsi="仿宋_GB2312" w:cs="仿宋_GB2312" w:eastAsia="仿宋_GB2312"/>
              </w:rPr>
              <w:t>协助考试院成立专项应急响应小组，协助建立健全应急上报及联络机制，确保在应急事件发生时，能及时启动应急流程并及时联系到相关人员。</w:t>
            </w:r>
          </w:p>
          <w:p>
            <w:pPr>
              <w:pStyle w:val="null3"/>
            </w:pPr>
            <w:r>
              <w:rPr>
                <w:rFonts w:ascii="仿宋_GB2312" w:hAnsi="仿宋_GB2312" w:cs="仿宋_GB2312" w:eastAsia="仿宋_GB2312"/>
              </w:rPr>
              <w:t>当考试院发生突发性的安全事件，在接到应急需求后，服务商须根据应急响应制度，在相应时限内进行处置。若需现场处置，应</w:t>
            </w:r>
            <w:r>
              <w:rPr>
                <w:rFonts w:ascii="仿宋_GB2312" w:hAnsi="仿宋_GB2312" w:cs="仿宋_GB2312" w:eastAsia="仿宋_GB2312"/>
              </w:rPr>
              <w:t>2小时内到达现场，现场协助完成不限于以下工作：事件范围损失控制、取证、事件处理、外部攻击源追溯、内部脆弱性分析，并记录应急相关过程及结果。现场了解详细的安全事件情况、并采集相关数据信息，基于事件严重程度，采取不同等级的响应措施，并尝试最大限度消除安全事件影响，控制事件的影响范围，协助考试院对业务、数据等进行恢复。</w:t>
            </w:r>
          </w:p>
          <w:p>
            <w:pPr>
              <w:pStyle w:val="null3"/>
            </w:pPr>
            <w:r>
              <w:rPr>
                <w:rFonts w:ascii="仿宋_GB2312" w:hAnsi="仿宋_GB2312" w:cs="仿宋_GB2312" w:eastAsia="仿宋_GB2312"/>
              </w:rPr>
              <w:t>在完成应急响应工作后，服务商应协助采购方进行事件回溯，完成事件原因调查，基于应急的全过程，并对安全事件发生的原因与过程进行专业分析与溯源追踪，避免再次发生类似问题事件。</w:t>
            </w:r>
          </w:p>
          <w:p>
            <w:pPr>
              <w:pStyle w:val="null3"/>
            </w:pPr>
            <w:r>
              <w:rPr>
                <w:rFonts w:ascii="仿宋_GB2312" w:hAnsi="仿宋_GB2312" w:cs="仿宋_GB2312" w:eastAsia="仿宋_GB2312"/>
                <w:sz w:val="21"/>
              </w:rPr>
              <w:t>完成应急响应工作后</w:t>
            </w:r>
            <w:r>
              <w:rPr>
                <w:rFonts w:ascii="仿宋_GB2312" w:hAnsi="仿宋_GB2312" w:cs="仿宋_GB2312" w:eastAsia="仿宋_GB2312"/>
                <w:sz w:val="21"/>
              </w:rPr>
              <w:t>3个工作日内输出《应急响应报告》。</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rPr>
              <w:t>11</w:t>
            </w:r>
            <w:r>
              <w:rPr>
                <w:rFonts w:ascii="仿宋_GB2312" w:hAnsi="仿宋_GB2312" w:cs="仿宋_GB2312" w:eastAsia="仿宋_GB2312"/>
              </w:rPr>
              <w:t>.</w:t>
            </w:r>
            <w:r>
              <w:rPr>
                <w:rFonts w:ascii="仿宋_GB2312" w:hAnsi="仿宋_GB2312" w:cs="仿宋_GB2312" w:eastAsia="仿宋_GB2312"/>
              </w:rPr>
              <w:t>应急演练服务</w:t>
            </w:r>
          </w:p>
          <w:p>
            <w:pPr>
              <w:pStyle w:val="null3"/>
            </w:pPr>
            <w:r>
              <w:rPr>
                <w:rFonts w:ascii="仿宋_GB2312" w:hAnsi="仿宋_GB2312" w:cs="仿宋_GB2312" w:eastAsia="仿宋_GB2312"/>
              </w:rPr>
              <w:t>提供应急演练服务，根据考试院需求定制应急演练服务，通过演练提高考试院技术和管理人员在各业务、应急流程环节的配合程度。服务期内完成至少</w:t>
            </w:r>
            <w:r>
              <w:rPr>
                <w:rFonts w:ascii="仿宋_GB2312" w:hAnsi="仿宋_GB2312" w:cs="仿宋_GB2312" w:eastAsia="仿宋_GB2312"/>
              </w:rPr>
              <w:t>1次应急演练工作。</w:t>
            </w:r>
          </w:p>
          <w:p>
            <w:pPr>
              <w:pStyle w:val="null3"/>
            </w:pPr>
            <w:r>
              <w:rPr>
                <w:rFonts w:ascii="仿宋_GB2312" w:hAnsi="仿宋_GB2312" w:cs="仿宋_GB2312" w:eastAsia="仿宋_GB2312"/>
              </w:rPr>
              <w:t>应协助考试院完成应急演练工作，设立应急演练工作小组，并设置不同角色负责不同职责，拉通所有相关人员。搭建模拟的仿真业务环境，模拟各种业务突发安全事件场景，严格按照应急预案设定的应急事件的响应流程，进行分析研判、溯源分析、应急处置、隐患消除、处置恢复等，确保安全团队、各系统运维人员和管理人员熟悉事件处置、报告流程，提高安全事件处置水平，并在演练完成后输出演练总结报告，对演练暴露出的问题进行优化提升。</w:t>
            </w:r>
          </w:p>
          <w:p>
            <w:pPr>
              <w:pStyle w:val="null3"/>
            </w:pPr>
            <w:r>
              <w:rPr>
                <w:rFonts w:ascii="仿宋_GB2312" w:hAnsi="仿宋_GB2312" w:cs="仿宋_GB2312" w:eastAsia="仿宋_GB2312"/>
                <w:sz w:val="21"/>
              </w:rPr>
              <w:t>应急演练开始前需输出《应急演练实施方案》，明确演练环境、资源需求、演练流程、动作台词等，结束后输出《应急演练总结报告》，完成演练总结。</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rPr>
              <w:t>12</w:t>
            </w:r>
            <w:r>
              <w:rPr>
                <w:rFonts w:ascii="仿宋_GB2312" w:hAnsi="仿宋_GB2312" w:cs="仿宋_GB2312" w:eastAsia="仿宋_GB2312"/>
              </w:rPr>
              <w:t>.</w:t>
            </w:r>
            <w:r>
              <w:rPr>
                <w:rFonts w:ascii="仿宋_GB2312" w:hAnsi="仿宋_GB2312" w:cs="仿宋_GB2312" w:eastAsia="仿宋_GB2312"/>
              </w:rPr>
              <w:t>安全培训服务</w:t>
            </w:r>
          </w:p>
          <w:p>
            <w:pPr>
              <w:pStyle w:val="null3"/>
            </w:pPr>
            <w:r>
              <w:rPr>
                <w:rFonts w:ascii="仿宋_GB2312" w:hAnsi="仿宋_GB2312" w:cs="仿宋_GB2312" w:eastAsia="仿宋_GB2312"/>
              </w:rPr>
              <w:t>提供安全培训服务，为考试院信息化相关技术、管理、运维人员进行集中培训，通过培训使参训人员全面深度掌握国家网络安全相关的法律法规、制度、标准和相关行业要求，了解网络安全细分领域相关情况，掌握应急及安全防范技术措施等。服务期内至少提供</w:t>
            </w:r>
            <w:r>
              <w:rPr>
                <w:rFonts w:ascii="仿宋_GB2312" w:hAnsi="仿宋_GB2312" w:cs="仿宋_GB2312" w:eastAsia="仿宋_GB2312"/>
              </w:rPr>
              <w:t>2</w:t>
            </w:r>
            <w:r>
              <w:rPr>
                <w:rFonts w:ascii="仿宋_GB2312" w:hAnsi="仿宋_GB2312" w:cs="仿宋_GB2312" w:eastAsia="仿宋_GB2312"/>
              </w:rPr>
              <w:t>次培训服务，由外部高级工程师</w:t>
            </w:r>
            <w:r>
              <w:rPr>
                <w:rFonts w:ascii="仿宋_GB2312" w:hAnsi="仿宋_GB2312" w:cs="仿宋_GB2312" w:eastAsia="仿宋_GB2312"/>
              </w:rPr>
              <w:t>/教授级别以上的安全专家提供培训。</w:t>
            </w:r>
          </w:p>
          <w:p>
            <w:pPr>
              <w:pStyle w:val="null3"/>
            </w:pPr>
            <w:r>
              <w:rPr>
                <w:rFonts w:ascii="仿宋_GB2312" w:hAnsi="仿宋_GB2312" w:cs="仿宋_GB2312" w:eastAsia="仿宋_GB2312"/>
              </w:rPr>
              <w:t>在培训前需与考试院进行沟通及确认，确认培训主题，定制符合考试院实际需求的培训课程，完成培训课程的相关讲义、课件等准备，培训师资视考试院实际需求确定。</w:t>
            </w:r>
          </w:p>
          <w:p>
            <w:pPr>
              <w:pStyle w:val="null3"/>
            </w:pPr>
            <w:r>
              <w:rPr>
                <w:rFonts w:ascii="仿宋_GB2312" w:hAnsi="仿宋_GB2312" w:cs="仿宋_GB2312" w:eastAsia="仿宋_GB2312"/>
              </w:rPr>
              <w:t>培训可选的课程内容包括但不限于安全意识、安全政策及法律法规、安全基础常识、安全风险应对、安全处置响应、安全运维、安全加固、安全产品使用、认证培训等方面。</w:t>
            </w:r>
          </w:p>
          <w:p>
            <w:pPr>
              <w:pStyle w:val="null3"/>
            </w:pPr>
            <w:r>
              <w:rPr>
                <w:rFonts w:ascii="仿宋_GB2312" w:hAnsi="仿宋_GB2312" w:cs="仿宋_GB2312" w:eastAsia="仿宋_GB2312"/>
              </w:rPr>
              <w:t>服务商提供网络安全相关认证培训服务，提供不少于</w:t>
            </w:r>
            <w:r>
              <w:rPr>
                <w:rFonts w:ascii="仿宋_GB2312" w:hAnsi="仿宋_GB2312" w:cs="仿宋_GB2312" w:eastAsia="仿宋_GB2312"/>
              </w:rPr>
              <w:t>5人的认证培训服务，认证类型如：注册信息安全专业人员认证（CISP）、网络安全能力认证（CCSC）、信息安全保障人员认证（CISAW）、首席数据官认证（CCRC-CDO）等。</w:t>
            </w:r>
          </w:p>
          <w:p>
            <w:pPr>
              <w:pStyle w:val="null3"/>
            </w:pPr>
            <w:r>
              <w:rPr>
                <w:rFonts w:ascii="仿宋_GB2312" w:hAnsi="仿宋_GB2312" w:cs="仿宋_GB2312" w:eastAsia="仿宋_GB2312"/>
                <w:sz w:val="21"/>
              </w:rPr>
              <w:t>培训完成后输出培训相关归档资料，输出《培训签到表》和《培训质量反馈表》。</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rPr>
              <w:t>13</w:t>
            </w:r>
            <w:r>
              <w:rPr>
                <w:rFonts w:ascii="仿宋_GB2312" w:hAnsi="仿宋_GB2312" w:cs="仿宋_GB2312" w:eastAsia="仿宋_GB2312"/>
              </w:rPr>
              <w:t>.</w:t>
            </w:r>
            <w:r>
              <w:rPr>
                <w:rFonts w:ascii="仿宋_GB2312" w:hAnsi="仿宋_GB2312" w:cs="仿宋_GB2312" w:eastAsia="仿宋_GB2312"/>
              </w:rPr>
              <w:t>安全咨询服务</w:t>
            </w:r>
          </w:p>
          <w:p>
            <w:pPr>
              <w:pStyle w:val="null3"/>
            </w:pPr>
            <w:r>
              <w:rPr>
                <w:rFonts w:ascii="仿宋_GB2312" w:hAnsi="仿宋_GB2312" w:cs="仿宋_GB2312" w:eastAsia="仿宋_GB2312"/>
              </w:rPr>
              <w:t>通过安全咨询服务完善考试院现有的相关安全管理制度，健全管理制度规范，根据实际情况完成相关制度标准规范的编写、补全、修订工作。服务期内提供不限次数咨询服务。</w:t>
            </w:r>
          </w:p>
          <w:p>
            <w:pPr>
              <w:pStyle w:val="null3"/>
            </w:pPr>
            <w:r>
              <w:rPr>
                <w:rFonts w:ascii="仿宋_GB2312" w:hAnsi="仿宋_GB2312" w:cs="仿宋_GB2312" w:eastAsia="仿宋_GB2312"/>
              </w:rPr>
              <w:t>通过对考试院现状的充分调研、详细分析，站在考试院的现状和需解决的问题基础上，完全符合考试院的安全需求和未来规划，至少包含网络安全运维、安全运行监测、日志分析与审计、安全监测预警等方面制度标准规范。</w:t>
            </w:r>
          </w:p>
          <w:p>
            <w:pPr>
              <w:pStyle w:val="null3"/>
            </w:pPr>
            <w:r>
              <w:rPr>
                <w:rFonts w:ascii="仿宋_GB2312" w:hAnsi="仿宋_GB2312" w:cs="仿宋_GB2312" w:eastAsia="仿宋_GB2312"/>
              </w:rPr>
              <w:t>根据考试院需求，就日常安全工作中遇到的实际问题进行分析，结合安全发展趋势、相关标准规范等，从安全技术和安全管理等方面，提供不限次数的专业的安全意见及咨询建议。</w:t>
            </w:r>
          </w:p>
          <w:p>
            <w:pPr>
              <w:pStyle w:val="null3"/>
            </w:pPr>
            <w:r>
              <w:rPr>
                <w:rFonts w:ascii="仿宋_GB2312" w:hAnsi="仿宋_GB2312" w:cs="仿宋_GB2312" w:eastAsia="仿宋_GB2312"/>
              </w:rPr>
              <w:t>在符合对应的法律法规、政策文件及相关标准的前提下完成。</w:t>
            </w:r>
          </w:p>
          <w:p>
            <w:pPr>
              <w:pStyle w:val="null3"/>
            </w:pPr>
            <w:r>
              <w:rPr>
                <w:rFonts w:ascii="仿宋_GB2312" w:hAnsi="仿宋_GB2312" w:cs="仿宋_GB2312" w:eastAsia="仿宋_GB2312"/>
                <w:sz w:val="21"/>
              </w:rPr>
              <w:t>输出相应的《咨询建议》以及修订完善后的《制度规范》。</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rPr>
              <w:t>14</w:t>
            </w:r>
            <w:r>
              <w:rPr>
                <w:rFonts w:ascii="仿宋_GB2312" w:hAnsi="仿宋_GB2312" w:cs="仿宋_GB2312" w:eastAsia="仿宋_GB2312"/>
              </w:rPr>
              <w:t>.</w:t>
            </w:r>
            <w:r>
              <w:rPr>
                <w:rFonts w:ascii="仿宋_GB2312" w:hAnsi="仿宋_GB2312" w:cs="仿宋_GB2312" w:eastAsia="仿宋_GB2312"/>
              </w:rPr>
              <w:t>数据分类分级服务</w:t>
            </w:r>
          </w:p>
          <w:p>
            <w:pPr>
              <w:pStyle w:val="null3"/>
            </w:pPr>
            <w:r>
              <w:rPr>
                <w:rFonts w:ascii="仿宋_GB2312" w:hAnsi="仿宋_GB2312" w:cs="仿宋_GB2312" w:eastAsia="仿宋_GB2312"/>
              </w:rPr>
              <w:t>对考试院指定业务管理的数据资源进行调研、梳理和分类分级，服务期内至少完成</w:t>
            </w:r>
            <w:r>
              <w:rPr>
                <w:rFonts w:ascii="仿宋_GB2312" w:hAnsi="仿宋_GB2312" w:cs="仿宋_GB2312" w:eastAsia="仿宋_GB2312"/>
              </w:rPr>
              <w:t>1个指定重要业务系统关联的数据资产的分类分级工作，至少完成≥3w数据字段分级工作。</w:t>
            </w:r>
          </w:p>
          <w:p>
            <w:pPr>
              <w:pStyle w:val="null3"/>
            </w:pPr>
            <w:r>
              <w:rPr>
                <w:rFonts w:ascii="仿宋_GB2312" w:hAnsi="仿宋_GB2312" w:cs="仿宋_GB2312" w:eastAsia="仿宋_GB2312"/>
              </w:rPr>
              <w:t>对考试院核心业务关联的数据资产进行调研、盘点，调研内容包含但不限于数据源系统名称、系统开发商、数据库类型、数据库名称、数据类型、数据更新频率、数据量、网络情况等，通过调研梳理形成考试院资源清单，为数据分类分级开展提供前置条件和基础支撑。</w:t>
            </w:r>
          </w:p>
          <w:p>
            <w:pPr>
              <w:pStyle w:val="null3"/>
            </w:pPr>
            <w:r>
              <w:rPr>
                <w:rFonts w:ascii="仿宋_GB2312" w:hAnsi="仿宋_GB2312" w:cs="仿宋_GB2312" w:eastAsia="仿宋_GB2312"/>
              </w:rPr>
              <w:t>要求能够通过调研、梳理，结合教育行业的数据分类分级标准情况和相关惯例规范，对考试院指定数据资产进行分类分级。</w:t>
            </w:r>
          </w:p>
          <w:p>
            <w:pPr>
              <w:pStyle w:val="null3"/>
            </w:pPr>
            <w:r>
              <w:rPr>
                <w:rFonts w:ascii="仿宋_GB2312" w:hAnsi="仿宋_GB2312" w:cs="仿宋_GB2312" w:eastAsia="仿宋_GB2312"/>
                <w:sz w:val="21"/>
              </w:rPr>
              <w:t>提供数据分类分级所需的系统软件，系统最大字段数支持</w:t>
            </w:r>
            <w:r>
              <w:rPr>
                <w:rFonts w:ascii="仿宋_GB2312" w:hAnsi="仿宋_GB2312" w:cs="仿宋_GB2312" w:eastAsia="仿宋_GB2312"/>
                <w:sz w:val="21"/>
              </w:rPr>
              <w:t>100W字段，分类分级处理性能不少于100字段/秒。</w:t>
            </w:r>
          </w:p>
        </w:tc>
      </w:tr>
      <w:tr>
        <w:tc>
          <w:tcPr>
            <w:tcW w:type="dxa" w:w="2769"/>
          </w:tcPr>
          <w:p>
            <w:pPr>
              <w:pStyle w:val="null3"/>
            </w:pPr>
            <w:r>
              <w:rPr>
                <w:rFonts w:ascii="仿宋_GB2312" w:hAnsi="仿宋_GB2312" w:cs="仿宋_GB2312" w:eastAsia="仿宋_GB2312"/>
              </w:rPr>
              <w:t>23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借助技术服务工具开展分类分级工作，工具具备</w:t>
            </w:r>
            <w:r>
              <w:rPr>
                <w:rFonts w:ascii="仿宋_GB2312" w:hAnsi="仿宋_GB2312" w:cs="仿宋_GB2312" w:eastAsia="仿宋_GB2312"/>
                <w:sz w:val="21"/>
              </w:rPr>
              <w:t>AI大模型能力，支持同表多级上下文推理纠偏，形成最终的分类分级结果，结果至少包含判断依据、分类结果、分级结果、字段解释，支持以自然语言方式输入人工经验对分级效果进行调优，同时对于缺少字段中文注释和表注释的字段内容，可利用大模型的核心推理能力，完成字段内容推测和分类分级标记；可联动本服务提供的数据库审计工具，解析被审计语句中的数据库资产信息，对分类分级结果以库、表、列方式进行列表展示和以可视化大屏形式展示；支持对分类分级的结果进行识别，对需纠正或打标数据进行修正和人工确认，对不合规的结果进行在线修正，确保数据级别和分级的准确性。</w:t>
            </w:r>
            <w:r>
              <w:rPr>
                <w:rFonts w:ascii="仿宋_GB2312" w:hAnsi="仿宋_GB2312" w:cs="仿宋_GB2312" w:eastAsia="仿宋_GB2312"/>
                <w:sz w:val="21"/>
              </w:rPr>
              <w:t>（需按本条要求提供完整的相关证明材料并加盖公章，包括但不限于功能截图、检测报告、官网截图等）</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sz w:val="21"/>
              </w:rPr>
              <w:t>输出《考试院数据资源清单》、《考试院分类分级结果报告》。</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pPr>
            <w:r>
              <w:rPr>
                <w:rFonts w:ascii="仿宋_GB2312" w:hAnsi="仿宋_GB2312" w:cs="仿宋_GB2312" w:eastAsia="仿宋_GB2312"/>
              </w:rPr>
              <w:t>15.数据库审计租赁服务</w:t>
            </w:r>
          </w:p>
          <w:p>
            <w:pPr>
              <w:pStyle w:val="null3"/>
            </w:pPr>
            <w:r>
              <w:rPr>
                <w:rFonts w:ascii="仿宋_GB2312" w:hAnsi="仿宋_GB2312" w:cs="仿宋_GB2312" w:eastAsia="仿宋_GB2312"/>
              </w:rPr>
              <w:t>提供数据库审计硬件设备租赁服务，针对考试院现网数据库进行审计，针对采集发现的数据访问行为、数据风险行为等提供安全预警。所提供的数据库安全审计分析设备符合采集区域的数据流量需求，需支持至少</w:t>
            </w:r>
            <w:r>
              <w:rPr>
                <w:rFonts w:ascii="仿宋_GB2312" w:hAnsi="仿宋_GB2312" w:cs="仿宋_GB2312" w:eastAsia="仿宋_GB2312"/>
              </w:rPr>
              <w:t>70个数据库实例审计，可审计数据库流量≥1Gbps，双向审计数据库流量≥300Mbps，数据存储空间≥2TB。</w:t>
            </w:r>
          </w:p>
          <w:p>
            <w:pPr>
              <w:pStyle w:val="null3"/>
            </w:pPr>
            <w:r>
              <w:rPr>
                <w:rFonts w:ascii="仿宋_GB2312" w:hAnsi="仿宋_GB2312" w:cs="仿宋_GB2312" w:eastAsia="仿宋_GB2312"/>
                <w:sz w:val="21"/>
              </w:rPr>
              <w:t>支持云环境、物理网络环境下的数据库流量检测能力，支持主流关系型、非关系型、国产、大数据等数据库的审计。支持本地数据库工具登录数据库场景下的数据操作行为审计。</w:t>
            </w:r>
          </w:p>
        </w:tc>
      </w:tr>
      <w:tr>
        <w:tc>
          <w:tcPr>
            <w:tcW w:type="dxa" w:w="2769"/>
          </w:tcPr>
          <w:p>
            <w:pPr>
              <w:pStyle w:val="null3"/>
            </w:pPr>
            <w:r>
              <w:rPr>
                <w:rFonts w:ascii="仿宋_GB2312" w:hAnsi="仿宋_GB2312" w:cs="仿宋_GB2312" w:eastAsia="仿宋_GB2312"/>
              </w:rPr>
              <w:t>26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支持自动发现数据库，支持数据库性能分析，具备单独的性能分析页面，展示平均耗时趋势、平均执行时长、执行次数等</w:t>
            </w:r>
            <w:r>
              <w:rPr>
                <w:rFonts w:ascii="仿宋_GB2312" w:hAnsi="仿宋_GB2312" w:cs="仿宋_GB2312" w:eastAsia="仿宋_GB2312"/>
                <w:sz w:val="21"/>
              </w:rPr>
              <w:t>TOP统计信息。（需按本条要求提供完整的相关证明材料并加盖公章，包括但不限于功能截图、检测报告、官网截图等）</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pPr>
            <w:r>
              <w:rPr>
                <w:rFonts w:ascii="仿宋_GB2312" w:hAnsi="仿宋_GB2312" w:cs="仿宋_GB2312" w:eastAsia="仿宋_GB2312"/>
                <w:sz w:val="21"/>
              </w:rPr>
              <w:t>支持数据库访问审计，可展示数据库返回字段、影响行数、执行时长、主机名等，可基于时间范围、数据库报文关键字、数据库账号、数据库名</w:t>
            </w:r>
            <w:r>
              <w:rPr>
                <w:rFonts w:ascii="仿宋_GB2312" w:hAnsi="仿宋_GB2312" w:cs="仿宋_GB2312" w:eastAsia="仿宋_GB2312"/>
                <w:sz w:val="21"/>
              </w:rPr>
              <w:t>/实例名、影响行数、执行时长、数据库操作类型等多维条件进行日志查询，可对审计记录中涉及的敏感数据进行脱敏处理。</w:t>
            </w:r>
          </w:p>
        </w:tc>
      </w:tr>
      <w:tr>
        <w:tc>
          <w:tcPr>
            <w:tcW w:type="dxa" w:w="2769"/>
          </w:tcPr>
          <w:p>
            <w:pPr>
              <w:pStyle w:val="null3"/>
            </w:pPr>
            <w:r>
              <w:rPr>
                <w:rFonts w:ascii="仿宋_GB2312" w:hAnsi="仿宋_GB2312" w:cs="仿宋_GB2312" w:eastAsia="仿宋_GB2312"/>
              </w:rPr>
              <w:t>28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支持对数据库安全进行检测，可检测</w:t>
            </w:r>
            <w:r>
              <w:rPr>
                <w:rFonts w:ascii="仿宋_GB2312" w:hAnsi="仿宋_GB2312" w:cs="仿宋_GB2312" w:eastAsia="仿宋_GB2312"/>
              </w:rPr>
              <w:t>SQL注入、数据库配置风险等常见数据安全风险，支持在查看告警时一键添加信任。</w:t>
            </w:r>
          </w:p>
          <w:p>
            <w:pPr>
              <w:pStyle w:val="null3"/>
            </w:pPr>
            <w:r>
              <w:rPr>
                <w:rFonts w:ascii="仿宋_GB2312" w:hAnsi="仿宋_GB2312" w:cs="仿宋_GB2312" w:eastAsia="仿宋_GB2312"/>
                <w:sz w:val="21"/>
              </w:rPr>
              <w:t>支持数据库报表，支持自定义报表，可自由按需设定数据库报表内容，并以</w:t>
            </w:r>
            <w:r>
              <w:rPr>
                <w:rFonts w:ascii="仿宋_GB2312" w:hAnsi="仿宋_GB2312" w:cs="仿宋_GB2312" w:eastAsia="仿宋_GB2312"/>
                <w:sz w:val="21"/>
              </w:rPr>
              <w:t>HTML、PDF、WORD、EXCEL、CSV等格式进行报表导出，能够以报表形式展示一段时期内的数据库访问情况，展示数据库IP端口、数据库账号、操作类型、数据库名、表名等。（需按本条要求提供完整的相关证明材料并加盖公章，包括但不限于功能截图、检测报告、官网截图等）</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pPr>
            <w:r>
              <w:rPr>
                <w:rFonts w:ascii="仿宋_GB2312" w:hAnsi="仿宋_GB2312" w:cs="仿宋_GB2312" w:eastAsia="仿宋_GB2312"/>
                <w:sz w:val="21"/>
              </w:rPr>
              <w:t>每季度输出《数据库安全审计分析服务报告》，服务期内不少于</w:t>
            </w:r>
            <w:r>
              <w:rPr>
                <w:rFonts w:ascii="仿宋_GB2312" w:hAnsi="仿宋_GB2312" w:cs="仿宋_GB2312" w:eastAsia="仿宋_GB2312"/>
                <w:sz w:val="21"/>
              </w:rPr>
              <w:t>4份，针对当季度的数据访问和数据库风险情况进行汇总分析。</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pPr>
            <w:r>
              <w:rPr>
                <w:rFonts w:ascii="仿宋_GB2312" w:hAnsi="仿宋_GB2312" w:cs="仿宋_GB2312" w:eastAsia="仿宋_GB2312"/>
              </w:rPr>
              <w:t>16</w:t>
            </w:r>
            <w:r>
              <w:rPr>
                <w:rFonts w:ascii="仿宋_GB2312" w:hAnsi="仿宋_GB2312" w:cs="仿宋_GB2312" w:eastAsia="仿宋_GB2312"/>
              </w:rPr>
              <w:t>.</w:t>
            </w:r>
            <w:r>
              <w:rPr>
                <w:rFonts w:ascii="仿宋_GB2312" w:hAnsi="仿宋_GB2312" w:cs="仿宋_GB2312" w:eastAsia="仿宋_GB2312"/>
              </w:rPr>
              <w:t>安全设备租赁服务（专网）</w:t>
            </w:r>
          </w:p>
          <w:p>
            <w:pPr>
              <w:pStyle w:val="null3"/>
            </w:pPr>
            <w:r>
              <w:rPr>
                <w:rFonts w:ascii="仿宋_GB2312" w:hAnsi="仿宋_GB2312" w:cs="仿宋_GB2312" w:eastAsia="仿宋_GB2312"/>
              </w:rPr>
              <w:t>提供专网安全设备租赁服务，面向考试院专网提供符合要求的运维安全审计设备租赁服务、日志审计设备租赁服务、入侵监测设备租赁服务等服务，提供</w:t>
            </w:r>
            <w:r>
              <w:rPr>
                <w:rFonts w:ascii="仿宋_GB2312" w:hAnsi="仿宋_GB2312" w:cs="仿宋_GB2312" w:eastAsia="仿宋_GB2312"/>
              </w:rPr>
              <w:t>1年期设备租赁服务。</w:t>
            </w:r>
          </w:p>
          <w:p>
            <w:pPr>
              <w:pStyle w:val="null3"/>
            </w:pPr>
            <w:r>
              <w:rPr>
                <w:rFonts w:ascii="仿宋_GB2312" w:hAnsi="仿宋_GB2312" w:cs="仿宋_GB2312" w:eastAsia="仿宋_GB2312"/>
              </w:rPr>
              <w:t>运维安全审计设备在服务期内可运维资产不少于</w:t>
            </w:r>
            <w:r>
              <w:rPr>
                <w:rFonts w:ascii="仿宋_GB2312" w:hAnsi="仿宋_GB2312" w:cs="仿宋_GB2312" w:eastAsia="仿宋_GB2312"/>
              </w:rPr>
              <w:t>100个。</w:t>
            </w:r>
          </w:p>
          <w:p>
            <w:pPr>
              <w:pStyle w:val="null3"/>
            </w:pPr>
            <w:r>
              <w:rPr>
                <w:rFonts w:ascii="仿宋_GB2312" w:hAnsi="仿宋_GB2312" w:cs="仿宋_GB2312" w:eastAsia="仿宋_GB2312"/>
              </w:rPr>
              <w:t>日志审计设备在服务期内可采集日志源资产不少于</w:t>
            </w:r>
            <w:r>
              <w:rPr>
                <w:rFonts w:ascii="仿宋_GB2312" w:hAnsi="仿宋_GB2312" w:cs="仿宋_GB2312" w:eastAsia="仿宋_GB2312"/>
              </w:rPr>
              <w:t>80个，日志采集能力≥5000EPS。</w:t>
            </w:r>
          </w:p>
          <w:p>
            <w:pPr>
              <w:pStyle w:val="null3"/>
            </w:pPr>
            <w:r>
              <w:rPr>
                <w:rFonts w:ascii="仿宋_GB2312" w:hAnsi="仿宋_GB2312" w:cs="仿宋_GB2312" w:eastAsia="仿宋_GB2312"/>
                <w:sz w:val="21"/>
              </w:rPr>
              <w:t>入侵监测设备可采集应用层流量能力不少于</w:t>
            </w:r>
            <w:r>
              <w:rPr>
                <w:rFonts w:ascii="仿宋_GB2312" w:hAnsi="仿宋_GB2312" w:cs="仿宋_GB2312" w:eastAsia="仿宋_GB2312"/>
                <w:sz w:val="21"/>
              </w:rPr>
              <w:t>1Gbps。</w:t>
            </w:r>
          </w:p>
        </w:tc>
      </w:tr>
      <w:tr>
        <w:tc>
          <w:tcPr>
            <w:tcW w:type="dxa" w:w="2769"/>
          </w:tcPr>
          <w:p>
            <w:pPr>
              <w:pStyle w:val="null3"/>
            </w:pPr>
            <w:r>
              <w:rPr>
                <w:rFonts w:ascii="仿宋_GB2312" w:hAnsi="仿宋_GB2312" w:cs="仿宋_GB2312" w:eastAsia="仿宋_GB2312"/>
              </w:rPr>
              <w:t>31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运维安全审计：支持通过运维安全审计设备提供专网运维安全管理能力，方便事前管控、事中监控和事后溯源。兼容国产化环境运维，支持客户端和</w:t>
            </w:r>
            <w:r>
              <w:rPr>
                <w:rFonts w:ascii="仿宋_GB2312" w:hAnsi="仿宋_GB2312" w:cs="仿宋_GB2312" w:eastAsia="仿宋_GB2312"/>
                <w:sz w:val="21"/>
              </w:rPr>
              <w:t>H5运维方式，支持多因子认证（包括但不限于手机APP、动态令牌、USBKEY、短信等方式），支持自动收集IP、端口、账户、权限等实现自动授权；支持对符合条件的敏感会话设置不审计录像，防止信息泄露；支持用户账户状态统计，方便进行过期账户管理；支持数据库运维审计、改密及命令级管控能力，可定位数据库语句查询，同时支持预设条件进行会话阻断、命令阻断、审批、放行等动作。</w:t>
            </w:r>
            <w:r>
              <w:rPr>
                <w:rFonts w:ascii="仿宋_GB2312" w:hAnsi="仿宋_GB2312" w:cs="仿宋_GB2312" w:eastAsia="仿宋_GB2312"/>
                <w:sz w:val="21"/>
              </w:rPr>
              <w:t>（需按本条要求提供完整的相关证明材料并加盖公章，包括但不限于功能截图、检测报告、官网截图等）</w:t>
            </w:r>
          </w:p>
        </w:tc>
      </w:tr>
      <w:tr>
        <w:tc>
          <w:tcPr>
            <w:tcW w:type="dxa" w:w="2769"/>
          </w:tcPr>
          <w:p>
            <w:pPr>
              <w:pStyle w:val="null3"/>
            </w:pPr>
            <w:r>
              <w:rPr>
                <w:rFonts w:ascii="仿宋_GB2312" w:hAnsi="仿宋_GB2312" w:cs="仿宋_GB2312" w:eastAsia="仿宋_GB2312"/>
              </w:rPr>
              <w:t>32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日志审计：支持通过日志审计设备对当前所有资产的日志等进行采集和分析，实现实时留痕，方便事中及时发现预警和事后溯源。支持通过</w:t>
            </w:r>
            <w:r>
              <w:rPr>
                <w:rFonts w:ascii="仿宋_GB2312" w:hAnsi="仿宋_GB2312" w:cs="仿宋_GB2312" w:eastAsia="仿宋_GB2312"/>
                <w:sz w:val="21"/>
              </w:rPr>
              <w:t>Syslog、HTTP、FTP、SFTP、日志采集Agent等多种方式实现日志采集，日志采集Agent支持统一管理和升级；支持日志标准化解析能力，可自定义解析规则，支持一键生成正则表达式；提供日志自定义查询能力，支持多种条件同时查询，可存储查询条件。</w:t>
            </w:r>
            <w:r>
              <w:rPr>
                <w:rFonts w:ascii="仿宋_GB2312" w:hAnsi="仿宋_GB2312" w:cs="仿宋_GB2312" w:eastAsia="仿宋_GB2312"/>
                <w:sz w:val="21"/>
              </w:rPr>
              <w:t>（需按本条要求提供完整的相关证明材料并加盖公章，包括但不限于功能截图、检测报告、官网截图等）</w:t>
            </w:r>
          </w:p>
        </w:tc>
      </w:tr>
      <w:tr>
        <w:tc>
          <w:tcPr>
            <w:tcW w:type="dxa" w:w="2769"/>
          </w:tcPr>
          <w:p>
            <w:pPr>
              <w:pStyle w:val="null3"/>
            </w:pPr>
            <w:r>
              <w:rPr>
                <w:rFonts w:ascii="仿宋_GB2312" w:hAnsi="仿宋_GB2312" w:cs="仿宋_GB2312" w:eastAsia="仿宋_GB2312"/>
              </w:rPr>
              <w:t>33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入侵检测：支持通过入侵检测设备对网内的</w:t>
            </w:r>
            <w:r>
              <w:rPr>
                <w:rFonts w:ascii="仿宋_GB2312" w:hAnsi="仿宋_GB2312" w:cs="仿宋_GB2312" w:eastAsia="仿宋_GB2312"/>
                <w:sz w:val="21"/>
              </w:rPr>
              <w:t>Web攻击、勒索病毒爆发、挖矿行为、内部主机受控、暴力破解、隐蔽信道数据传输、弱口令攻击等进行安全监测，提升专网的安全监测预警和处置能力。可对勒索、挖矿、弱口令等专项安全场景进行专项展示和分析，并联动交换机进行威胁阻断；能够基于多种维度进行多维视角聚合分析，识别攻击总次数以及攻击行为是否成功；可发现网络异常重传、RESET包异常等网络异常行为。</w:t>
            </w:r>
            <w:r>
              <w:rPr>
                <w:rFonts w:ascii="仿宋_GB2312" w:hAnsi="仿宋_GB2312" w:cs="仿宋_GB2312" w:eastAsia="仿宋_GB2312"/>
                <w:sz w:val="21"/>
              </w:rPr>
              <w:t>（需按本条要求提供完整的相关证明材料并加盖公章，包括但不限于功能截图、检测报告、官网截图等）</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pPr>
            <w:r>
              <w:rPr>
                <w:rFonts w:ascii="仿宋_GB2312" w:hAnsi="仿宋_GB2312" w:cs="仿宋_GB2312" w:eastAsia="仿宋_GB2312"/>
              </w:rPr>
              <w:t>17</w:t>
            </w:r>
            <w:r>
              <w:rPr>
                <w:rFonts w:ascii="仿宋_GB2312" w:hAnsi="仿宋_GB2312" w:cs="仿宋_GB2312" w:eastAsia="仿宋_GB2312"/>
              </w:rPr>
              <w:t>.</w:t>
            </w:r>
            <w:r>
              <w:rPr>
                <w:rFonts w:ascii="仿宋_GB2312" w:hAnsi="仿宋_GB2312" w:cs="仿宋_GB2312" w:eastAsia="仿宋_GB2312"/>
              </w:rPr>
              <w:t>“三高一弱”专项检查服务</w:t>
            </w:r>
          </w:p>
          <w:p>
            <w:pPr>
              <w:pStyle w:val="null3"/>
            </w:pPr>
            <w:r>
              <w:rPr>
                <w:rFonts w:ascii="仿宋_GB2312" w:hAnsi="仿宋_GB2312" w:cs="仿宋_GB2312" w:eastAsia="仿宋_GB2312"/>
              </w:rPr>
              <w:t>针对</w:t>
            </w:r>
            <w:r>
              <w:rPr>
                <w:rFonts w:ascii="仿宋_GB2312" w:hAnsi="仿宋_GB2312" w:cs="仿宋_GB2312" w:eastAsia="仿宋_GB2312"/>
              </w:rPr>
              <w:t>“三高一弱”规则和问题清单，开展常态化高危漏洞、高危端口、高危行为、弱口令风险隐患排查整治，内容包括不仅限于：主机、web应用、中间件、应用组件、数据库、操作系统、网络及安全设备等各信息系统，并提供加固意见和修复建议，服务期内提供每季度不少于1次“三高一弱”检查服务。</w:t>
            </w:r>
          </w:p>
          <w:p>
            <w:pPr>
              <w:pStyle w:val="null3"/>
            </w:pPr>
            <w:r>
              <w:rPr>
                <w:rFonts w:ascii="仿宋_GB2312" w:hAnsi="仿宋_GB2312" w:cs="仿宋_GB2312" w:eastAsia="仿宋_GB2312"/>
              </w:rPr>
              <w:t>高危端口检查：对考试院网络内部开放端口情况进行检查，研判分析端口及承载的服务是否存在高危风险，识别脆弱性与威胁较高的接口及设备，并提供加固意见和修复建议，防范此类设备被恶意控制成为攻击载体引发安全风险事件。</w:t>
            </w:r>
          </w:p>
          <w:p>
            <w:pPr>
              <w:pStyle w:val="null3"/>
            </w:pPr>
            <w:r>
              <w:rPr>
                <w:rFonts w:ascii="仿宋_GB2312" w:hAnsi="仿宋_GB2312" w:cs="仿宋_GB2312" w:eastAsia="仿宋_GB2312"/>
              </w:rPr>
              <w:t>高危行为检查：对考试院可能存在的违规接入与外联行为、高危攻击行为、高危（可疑）样本等进行检测，通过技术手段有效识别非授权设备接入、高危攻击风险行为等，并提供加固意见和修复建议，防范网络资源违规使用、遭受攻击或破坏、数据泄露及非法入侵等风险。</w:t>
            </w:r>
          </w:p>
          <w:p>
            <w:pPr>
              <w:pStyle w:val="null3"/>
            </w:pPr>
            <w:r>
              <w:rPr>
                <w:rFonts w:ascii="仿宋_GB2312" w:hAnsi="仿宋_GB2312" w:cs="仿宋_GB2312" w:eastAsia="仿宋_GB2312"/>
              </w:rPr>
              <w:t>高危漏洞检查：对考试院业务系统、操作系统、数据库、中间件等支撑组件进行漏洞扫描和验证，识别当前存在的各种漏洞，对高危漏洞提供加固意见和修复建议，提升业务及支撑系统的安全性。</w:t>
            </w:r>
          </w:p>
          <w:p>
            <w:pPr>
              <w:pStyle w:val="null3"/>
            </w:pPr>
            <w:r>
              <w:rPr>
                <w:rFonts w:ascii="仿宋_GB2312" w:hAnsi="仿宋_GB2312" w:cs="仿宋_GB2312" w:eastAsia="仿宋_GB2312"/>
              </w:rPr>
              <w:t>弱口令检查：检查考试院在应用用户登录、访问鉴权、系统后台、数据库、服务接口等方面的存在的弱口令，大幅降低弱口令造成的安全风险。</w:t>
            </w:r>
          </w:p>
          <w:p>
            <w:pPr>
              <w:pStyle w:val="null3"/>
            </w:pPr>
            <w:r>
              <w:rPr>
                <w:rFonts w:ascii="仿宋_GB2312" w:hAnsi="仿宋_GB2312" w:cs="仿宋_GB2312" w:eastAsia="仿宋_GB2312"/>
                <w:sz w:val="21"/>
              </w:rPr>
              <w:t>服务实施完成后输出《</w:t>
            </w:r>
            <w:r>
              <w:rPr>
                <w:rFonts w:ascii="仿宋_GB2312" w:hAnsi="仿宋_GB2312" w:cs="仿宋_GB2312" w:eastAsia="仿宋_GB2312"/>
                <w:sz w:val="21"/>
              </w:rPr>
              <w:t>“三高一弱”风险隐患排查报告》。</w:t>
            </w:r>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p>
            <w:pPr>
              <w:pStyle w:val="null3"/>
            </w:pPr>
            <w:r>
              <w:rPr>
                <w:rFonts w:ascii="仿宋_GB2312" w:hAnsi="仿宋_GB2312" w:cs="仿宋_GB2312" w:eastAsia="仿宋_GB2312"/>
              </w:rPr>
              <w:t>18</w:t>
            </w:r>
            <w:r>
              <w:rPr>
                <w:rFonts w:ascii="仿宋_GB2312" w:hAnsi="仿宋_GB2312" w:cs="仿宋_GB2312" w:eastAsia="仿宋_GB2312"/>
              </w:rPr>
              <w:t>.</w:t>
            </w:r>
            <w:r>
              <w:rPr>
                <w:rFonts w:ascii="仿宋_GB2312" w:hAnsi="仿宋_GB2312" w:cs="仿宋_GB2312" w:eastAsia="仿宋_GB2312"/>
              </w:rPr>
              <w:t>数据安全资产管理服务</w:t>
            </w:r>
          </w:p>
          <w:p>
            <w:pPr>
              <w:pStyle w:val="null3"/>
            </w:pPr>
            <w:r>
              <w:rPr>
                <w:rFonts w:ascii="仿宋_GB2312" w:hAnsi="仿宋_GB2312" w:cs="仿宋_GB2312" w:eastAsia="仿宋_GB2312"/>
              </w:rPr>
              <w:t>要求提供专业的数据安全资产梳理服务，通过技术扫描与人工核查相结合的方式，全面发现、识别并梳理考试院信息系统中的各类数据资产，包括但不限于：各类库表数据资产、数据接口资产、备份数据资产等，清晰反映资产的名称、类型及责任人等关键信息。</w:t>
            </w:r>
          </w:p>
          <w:p>
            <w:pPr>
              <w:pStyle w:val="null3"/>
            </w:pPr>
            <w:r>
              <w:rPr>
                <w:rFonts w:ascii="仿宋_GB2312" w:hAnsi="仿宋_GB2312" w:cs="仿宋_GB2312" w:eastAsia="仿宋_GB2312"/>
                <w:sz w:val="21"/>
              </w:rPr>
              <w:t>服务实施完成后最终形成一份统一、准确的《数据安全资产清单》，以清晰掌握考试院数据资产的分布、形态与责任归属，为后续的数据安全管理工作奠定坚实基础。</w:t>
            </w:r>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p>
            <w:pPr>
              <w:pStyle w:val="null3"/>
            </w:pPr>
            <w:r>
              <w:rPr>
                <w:rFonts w:ascii="仿宋_GB2312" w:hAnsi="仿宋_GB2312" w:cs="仿宋_GB2312" w:eastAsia="仿宋_GB2312"/>
              </w:rPr>
              <w:t>19.压力测试服务</w:t>
            </w:r>
          </w:p>
          <w:p>
            <w:pPr>
              <w:pStyle w:val="null3"/>
            </w:pPr>
            <w:r>
              <w:rPr>
                <w:rFonts w:ascii="仿宋_GB2312" w:hAnsi="仿宋_GB2312" w:cs="仿宋_GB2312" w:eastAsia="仿宋_GB2312"/>
              </w:rPr>
              <w:t>要求针对考试院包含但不限于</w:t>
            </w:r>
            <w:r>
              <w:rPr>
                <w:rFonts w:ascii="仿宋_GB2312" w:hAnsi="仿宋_GB2312" w:cs="仿宋_GB2312" w:eastAsia="仿宋_GB2312"/>
              </w:rPr>
              <w:t>Web端、移动端（APP/小程序）及后台接口层等进行一次压力测试。</w:t>
            </w:r>
          </w:p>
          <w:p>
            <w:pPr>
              <w:pStyle w:val="null3"/>
            </w:pPr>
            <w:r>
              <w:rPr>
                <w:rFonts w:ascii="仿宋_GB2312" w:hAnsi="仿宋_GB2312" w:cs="仿宋_GB2312" w:eastAsia="仿宋_GB2312"/>
              </w:rPr>
              <w:t>峰值并发场景测试：需能模拟高考报名截止前</w:t>
            </w:r>
            <w:r>
              <w:rPr>
                <w:rFonts w:ascii="仿宋_GB2312" w:hAnsi="仿宋_GB2312" w:cs="仿宋_GB2312" w:eastAsia="仿宋_GB2312"/>
              </w:rPr>
              <w:t>24小时（并发用户≥10万）、成绩查询首日（每秒查询请求≥9000次）的高负载场景。</w:t>
            </w:r>
          </w:p>
          <w:p>
            <w:pPr>
              <w:pStyle w:val="null3"/>
            </w:pPr>
            <w:r>
              <w:rPr>
                <w:rFonts w:ascii="仿宋_GB2312" w:hAnsi="仿宋_GB2312" w:cs="仿宋_GB2312" w:eastAsia="仿宋_GB2312"/>
              </w:rPr>
              <w:t>数据量压力场景测试：需能模拟考生数据量</w:t>
            </w:r>
            <w:r>
              <w:rPr>
                <w:rFonts w:ascii="仿宋_GB2312" w:hAnsi="仿宋_GB2312" w:cs="仿宋_GB2312" w:eastAsia="仿宋_GB2312"/>
              </w:rPr>
              <w:t>≥50万条、历史成绩数据≥200万条时的系统响应能力。</w:t>
            </w:r>
          </w:p>
          <w:p>
            <w:pPr>
              <w:pStyle w:val="null3"/>
            </w:pPr>
            <w:r>
              <w:rPr>
                <w:rFonts w:ascii="仿宋_GB2312" w:hAnsi="仿宋_GB2312" w:cs="仿宋_GB2312" w:eastAsia="仿宋_GB2312"/>
              </w:rPr>
              <w:t>混合业务场景压力测试：需能同时模拟报名、审核、缴费、查询等多业务并发操作（业务比</w:t>
            </w:r>
            <w:r>
              <w:rPr>
                <w:rFonts w:ascii="仿宋_GB2312" w:hAnsi="仿宋_GB2312" w:cs="仿宋_GB2312" w:eastAsia="仿宋_GB2312"/>
              </w:rPr>
              <w:t>例按考试院历史数据配置）。</w:t>
            </w:r>
          </w:p>
          <w:p>
            <w:pPr>
              <w:pStyle w:val="null3"/>
            </w:pPr>
            <w:r>
              <w:rPr>
                <w:rFonts w:ascii="仿宋_GB2312" w:hAnsi="仿宋_GB2312" w:cs="仿宋_GB2312" w:eastAsia="仿宋_GB2312"/>
                <w:sz w:val="21"/>
              </w:rPr>
              <w:t>服务期内需提供相关详细测试方案、详细测试用例（覆盖关键、复杂业务场景，避免简单页面压测）、压</w:t>
            </w:r>
            <w:r>
              <w:rPr>
                <w:rFonts w:ascii="仿宋_GB2312" w:hAnsi="仿宋_GB2312" w:cs="仿宋_GB2312" w:eastAsia="仿宋_GB2312"/>
                <w:sz w:val="21"/>
              </w:rPr>
              <w:t>力测试报告（含测试数据、性能瓶颈分析、优化建议等）。</w:t>
            </w:r>
          </w:p>
        </w:tc>
      </w:tr>
      <w:tr>
        <w:tc>
          <w:tcPr>
            <w:tcW w:type="dxa" w:w="2769"/>
          </w:tcPr>
          <w:p>
            <w:pPr>
              <w:pStyle w:val="null3"/>
            </w:pPr>
            <w:r>
              <w:rPr>
                <w:rFonts w:ascii="仿宋_GB2312" w:hAnsi="仿宋_GB2312" w:cs="仿宋_GB2312" w:eastAsia="仿宋_GB2312"/>
              </w:rPr>
              <w:t>37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提供服务的服务商需要具备</w:t>
            </w:r>
            <w:r>
              <w:rPr>
                <w:rFonts w:ascii="仿宋_GB2312" w:hAnsi="仿宋_GB2312" w:cs="仿宋_GB2312" w:eastAsia="仿宋_GB2312"/>
                <w:sz w:val="21"/>
              </w:rPr>
              <w:t>有效的</w:t>
            </w:r>
            <w:r>
              <w:rPr>
                <w:rFonts w:ascii="仿宋_GB2312" w:hAnsi="仿宋_GB2312" w:cs="仿宋_GB2312" w:eastAsia="仿宋_GB2312"/>
                <w:sz w:val="21"/>
              </w:rPr>
              <w:t>CMA和CNAS资质，且需要具有中国网络安全审查认证和市场监管大数据中心（CCRC）颁发的《信息安全风险评估》服务资质。</w:t>
            </w:r>
            <w:r>
              <w:rPr>
                <w:rFonts w:ascii="仿宋_GB2312" w:hAnsi="仿宋_GB2312" w:cs="仿宋_GB2312" w:eastAsia="仿宋_GB2312"/>
                <w:sz w:val="21"/>
              </w:rPr>
              <w:t>（提供相关能力证明材料并加盖公章）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服务期：合同签订后1年。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陕西省教育考试院指定地点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服务期结束后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1、本项目需要落实的政府采购政策: （1）《政府采购促进中小企业发展管理办法》的通知--财库〔2020〕46号 （2）财政部司法部关于政府采购支持监狱企业发展有关问题的通知--财库[2014]68号 （3）《财政部 发展改革委 生态环境部 市场监管总局关于调整优化节能产品 环境标志产品政府采购执行机制的通知》（财库〔2019〕9号） （4）《关于促进残疾人就业政府采购政策的通知》（财库[2017]141号） （5）《陕西省财政厅关于加快推进我省中小企业政府采购信用融资工作的通知》（陕财办采〔2020〕15 号） （6）《陕西省中小企业政府采购信用融资办法》陕财办采〔2018〕23号 （7）《关于运用政府采购政策支持乡村产业振兴的通知》（财库〔2021〕19 号） （8）《关于进一步加大政府采购支持中小企业力度的通知》（财库〔2022〕19号） （9）《陕西省财政厅关于进一步落实政府采购支持中小企业相关政策的通知》（陕财办采〔2023〕3号） （10） 若享受以上政策优惠的企业，提供相应声明函或品目范围内产品有效认证证书。如有最新颁布的政府采购政策，按最新的文件执行。 2、保证金的退还：自中标通知书发出之日起5个工作日内退还未中标人的投标保证金,自采购合同签订之日起5个工作日内退还中标人的投标保证金。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供应商认为有必要说明的问题.docx 供应商资格条件证明文件.docx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法定代表人授权书及被授权人身份证复印件。（法定代表人直接磋商只须提交其身份证明书）</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 技术指标偏差表.docx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分项报价表.docx 标的清单 响应函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响应文件按磋商文件要求的数量、计量单位、报价货币及签字盖章</w:t>
            </w:r>
          </w:p>
        </w:tc>
        <w:tc>
          <w:tcPr>
            <w:tcW w:type="dxa" w:w="3322"/>
          </w:tcPr>
          <w:p>
            <w:pPr>
              <w:pStyle w:val="null3"/>
            </w:pPr>
            <w:r>
              <w:rPr>
                <w:rFonts w:ascii="仿宋_GB2312" w:hAnsi="仿宋_GB2312" w:cs="仿宋_GB2312" w:eastAsia="仿宋_GB2312"/>
              </w:rPr>
              <w:t>响应文件按磋商文件要求的数量、计量单位、报价货币及签字盖章</w:t>
            </w:r>
          </w:p>
        </w:tc>
        <w:tc>
          <w:tcPr>
            <w:tcW w:type="dxa" w:w="1661"/>
          </w:tcPr>
          <w:p>
            <w:pPr>
              <w:pStyle w:val="null3"/>
            </w:pPr>
            <w:r>
              <w:rPr>
                <w:rFonts w:ascii="仿宋_GB2312" w:hAnsi="仿宋_GB2312" w:cs="仿宋_GB2312" w:eastAsia="仿宋_GB2312"/>
              </w:rPr>
              <w:t>响应文件封面 分项报价表.docx 标的清单 商务应答表.docx 响应函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响应文件的有效期达到磋商文件要求</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供应商认为有必要说明的问题.docx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项目需求分析</w:t>
            </w:r>
          </w:p>
        </w:tc>
        <w:tc>
          <w:tcPr>
            <w:tcW w:type="dxa" w:w="2492"/>
          </w:tcPr>
          <w:p>
            <w:pPr>
              <w:pStyle w:val="null3"/>
            </w:pPr>
            <w:r>
              <w:rPr>
                <w:rFonts w:ascii="仿宋_GB2312" w:hAnsi="仿宋_GB2312" w:cs="仿宋_GB2312" w:eastAsia="仿宋_GB2312"/>
              </w:rPr>
              <w:t>供应商针对本项目提供详细的项目需求分析，包括：①项目背景；②项目现状；③项目目标以及服务需求；以上方案每缺一项扣2分；每有1处描述有缺陷扣1分，扣完为止。 注：缺陷是指:内容粗略不够全面、不够合理、可行性不足或缺少关键点；非专门针对本项目或不适用本项目特性、套用其他项目内容； 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详细评审---项目需求分析.docx</w:t>
            </w:r>
          </w:p>
        </w:tc>
      </w:tr>
      <w:tr>
        <w:tc>
          <w:tcPr>
            <w:tcW w:type="dxa" w:w="831"/>
            <w:vMerge/>
          </w:tcPr>
          <w:p/>
        </w:tc>
        <w:tc>
          <w:tcPr>
            <w:tcW w:type="dxa" w:w="1661"/>
          </w:tcPr>
          <w:p>
            <w:pPr>
              <w:pStyle w:val="null3"/>
            </w:pPr>
            <w:r>
              <w:rPr>
                <w:rFonts w:ascii="仿宋_GB2312" w:hAnsi="仿宋_GB2312" w:cs="仿宋_GB2312" w:eastAsia="仿宋_GB2312"/>
              </w:rPr>
              <w:t>整体设计</w:t>
            </w:r>
          </w:p>
        </w:tc>
        <w:tc>
          <w:tcPr>
            <w:tcW w:type="dxa" w:w="2492"/>
          </w:tcPr>
          <w:p>
            <w:pPr>
              <w:pStyle w:val="null3"/>
            </w:pPr>
            <w:r>
              <w:rPr>
                <w:rFonts w:ascii="仿宋_GB2312" w:hAnsi="仿宋_GB2312" w:cs="仿宋_GB2312" w:eastAsia="仿宋_GB2312"/>
              </w:rPr>
              <w:t>供应商针对本项目提供详细的整体设计方案，包括：①响应方案的成熟度；②响应方案的完整性；③响应方案的符合程度；以上方案每缺一项扣2分；每有1处描述有缺陷扣1分，扣完为止。 注：缺陷是指:内容粗略不够全面、不够合理、可行性不足或缺少关键点；非专门针对本项目或不适用本项目特性、套用其他项目内容； 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详细评审---整体设计.docx</w:t>
            </w:r>
          </w:p>
        </w:tc>
      </w:tr>
      <w:tr>
        <w:tc>
          <w:tcPr>
            <w:tcW w:type="dxa" w:w="831"/>
            <w:vMerge/>
          </w:tcPr>
          <w:p/>
        </w:tc>
        <w:tc>
          <w:tcPr>
            <w:tcW w:type="dxa" w:w="1661"/>
          </w:tcPr>
          <w:p>
            <w:pPr>
              <w:pStyle w:val="null3"/>
            </w:pPr>
            <w:r>
              <w:rPr>
                <w:rFonts w:ascii="仿宋_GB2312" w:hAnsi="仿宋_GB2312" w:cs="仿宋_GB2312" w:eastAsia="仿宋_GB2312"/>
              </w:rPr>
              <w:t>参数响应</w:t>
            </w:r>
          </w:p>
        </w:tc>
        <w:tc>
          <w:tcPr>
            <w:tcW w:type="dxa" w:w="2492"/>
          </w:tcPr>
          <w:p>
            <w:pPr>
              <w:pStyle w:val="null3"/>
            </w:pPr>
            <w:r>
              <w:rPr>
                <w:rFonts w:ascii="仿宋_GB2312" w:hAnsi="仿宋_GB2312" w:cs="仿宋_GB2312" w:eastAsia="仿宋_GB2312"/>
              </w:rPr>
              <w:t>响应项目的技术指标完全符合、满足磋商文件要求，满分18分，标“▲”参数负偏离一项扣1分，非“▲”参数负偏离一项扣0.24分，扣完为止。备注：标“▲”项参数需提供证明材料，非“▲”项参数为提供方案、承诺即可。</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详细评审---参数响应.docx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根据对采购人整体安全服务需求的理解，编写技术服务方案，服务设计及交付符合采购人实际需求。供应商需对所有19项服务内容提供完整的服务方案，单项服务方案响应应包括但不限于服务内容、服务流程、服务方式、服务频次、交付成果等内容，单项服务满分为1分。供应商对单项服务流程及要求完全熟悉，方案设计完整、完全符合要求、可执行度高，单项得1分；供应商对单项服务流程及要求理解有缺项，方案设计、符合程度、可执行度仅部分满足采购需求，单项得0.5分，其他或未提供不得分。</w:t>
            </w:r>
          </w:p>
        </w:tc>
        <w:tc>
          <w:tcPr>
            <w:tcW w:type="dxa" w:w="831"/>
          </w:tcPr>
          <w:p>
            <w:pPr>
              <w:pStyle w:val="null3"/>
              <w:jc w:val="right"/>
            </w:pPr>
            <w:r>
              <w:rPr>
                <w:rFonts w:ascii="仿宋_GB2312" w:hAnsi="仿宋_GB2312" w:cs="仿宋_GB2312" w:eastAsia="仿宋_GB2312"/>
              </w:rPr>
              <w:t>19.0000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详细评审---服务方案.docx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供应商针对本项目提供质量保障方案，包括：①质量控制体系；②质量把控方案；③质量保障措施；以上方案每缺一项扣2分；每有1处描述有缺陷扣1分，扣完为止。 注：缺陷是指:内容粗略不够全面、不够合理、可行性不足或缺少关键点；非专门针对本项目或不适用本项目特性、套用其他项目内容； 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详细评审---质量保障方案.docx</w:t>
            </w:r>
          </w:p>
        </w:tc>
      </w:tr>
      <w:tr>
        <w:tc>
          <w:tcPr>
            <w:tcW w:type="dxa" w:w="831"/>
            <w:vMerge/>
          </w:tcPr>
          <w:p/>
        </w:tc>
        <w:tc>
          <w:tcPr>
            <w:tcW w:type="dxa" w:w="1661"/>
          </w:tcPr>
          <w:p>
            <w:pPr>
              <w:pStyle w:val="null3"/>
            </w:pPr>
            <w:r>
              <w:rPr>
                <w:rFonts w:ascii="仿宋_GB2312" w:hAnsi="仿宋_GB2312" w:cs="仿宋_GB2312" w:eastAsia="仿宋_GB2312"/>
              </w:rPr>
              <w:t>团队管理方案</w:t>
            </w:r>
          </w:p>
        </w:tc>
        <w:tc>
          <w:tcPr>
            <w:tcW w:type="dxa" w:w="2492"/>
          </w:tcPr>
          <w:p>
            <w:pPr>
              <w:pStyle w:val="null3"/>
            </w:pPr>
            <w:r>
              <w:rPr>
                <w:rFonts w:ascii="仿宋_GB2312" w:hAnsi="仿宋_GB2312" w:cs="仿宋_GB2312" w:eastAsia="仿宋_GB2312"/>
              </w:rPr>
              <w:t>供应商针对本项目提供完善的项目实施团队及管理方案，包括：①人员组织架构设置与管理；②实施计划；以上方案每缺一项扣2分；每有1处描述有缺陷扣1分，扣完为止。 注：缺陷是指:内容粗略不够全面、不够合理、可行性不足或缺少关键点；非专门针对本项目或不适用本项目特性、套用其他项目内容； 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详细评审---团队管理方案.docx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服务商具有有效期内的资质，按照资质情况得分： 1.具备中国信息安全测评中心颁发的信息安全服务资质-数据安全类，得2分； 2.具备中国信息安全测评中心颁发的信息安全服务资质-安全运营类资质，得2分； 3.具备中国网络安全审查认证和市场监督大数据中心颁发的信息安全服务资质-应急处理资质，得2分； 4.具备中国网络安全审查认证和市场监督大数据中心颁发的信息安全服务资质-安全运维资质，得2分； 5.提供项目服务承诺，服务承诺完善，内容详细、科学合理、针对性强，得2分；服务承诺简单，内容粗略、针对性欠缺，得1分；其他或不提供不得分。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详细评审---履约能力.docx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提供服务商自2022年11月1日（以合同签订时间为准）至今同类项目业绩。每提供一份计1分，满分5分。 备注：提供的合同需至少包括合同首页、合同清单页、合同盖章页，否则不得分。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供应商拟投入本项目的项目经理（1名），具备有效期内以下资质： 1.具备计算机技术与软件专业技术资格证书（高级）； 2.具备CCRC安全运维（专业级）资质。 3.具备CISI安全培训讲师相关资质。 4.具备项目管理专业人士资格认证。 每提供一项计1.5分，满分6分。 备注：提供项目经理的认证证书以及供应商为其缴纳的在投标截止日之前六个月内任意一个月社保缴纳证明或劳动合同或开标前六个月任意一个月的银行卡工资流水，证书需为非协会类证书。</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详细评审---项目经理.docx</w:t>
            </w:r>
          </w:p>
        </w:tc>
      </w:tr>
      <w:tr>
        <w:tc>
          <w:tcPr>
            <w:tcW w:type="dxa" w:w="831"/>
            <w:vMerge/>
          </w:tcPr>
          <w:p/>
        </w:tc>
        <w:tc>
          <w:tcPr>
            <w:tcW w:type="dxa" w:w="1661"/>
          </w:tcPr>
          <w:p>
            <w:pPr>
              <w:pStyle w:val="null3"/>
            </w:pPr>
            <w:r>
              <w:rPr>
                <w:rFonts w:ascii="仿宋_GB2312" w:hAnsi="仿宋_GB2312" w:cs="仿宋_GB2312" w:eastAsia="仿宋_GB2312"/>
              </w:rPr>
              <w:t>技术服务负责人</w:t>
            </w:r>
          </w:p>
        </w:tc>
        <w:tc>
          <w:tcPr>
            <w:tcW w:type="dxa" w:w="2492"/>
          </w:tcPr>
          <w:p>
            <w:pPr>
              <w:pStyle w:val="null3"/>
            </w:pPr>
            <w:r>
              <w:rPr>
                <w:rFonts w:ascii="仿宋_GB2312" w:hAnsi="仿宋_GB2312" w:cs="仿宋_GB2312" w:eastAsia="仿宋_GB2312"/>
              </w:rPr>
              <w:t>供应商拟投入本项目的技术服务负责人（1名），具备有效期内以下资质： 1.具备计算机技术与软件专业技术资格信息安全工程师； 2.具备注册信息安全工程师CISE或CISO资质； 3.具备注册数据安全治理CISP-DSG资质证书； 4.具备注册渗透测试工程师CISP-PTE或注册渗透测试专家CISP-PTS证书； 5.具备注册应急响应工程师CISP-IRE或注册应急响应专家CISP-IRS证书。 每提供一项计1分，满分5分。 备注：技术服务负责人与项目经理不能为同一人，提供技术负责人的认证证书以及供应商为其缴纳的在投标截止日之前六个月内任意一个月社保缴纳证明或劳动合同或开标前六个月任意一个月的银行卡工资流水，证书需为非协会类证书。</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详细评审---技术服务负责人.docx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为保障项目质量以及服务的稳定性，供应商针对本次项目投入的服务支撑团队不少于8人，支撑现场驻场人员工作，团队的所有成员需具备包括注册信息安全工程师CISP（CISE或CISO）、渗透测试、应急响应、安全运维、风险管理等相关专业资质证书。提供人员资质证明材料，全部满足得5分，团队服务人员每具备一类证书，且提供证明材料得1分（多人具备同一类别证书仅计1次分），证明材料提供不符合条件或未提供不得分， 备注：服务团队成员不包含技术服务负责人和项目经理，提供以上人员的认证证书以及供应商为其缴纳的在投标截止日之前六个月内任意一个月社保缴纳证明或劳动合同或开标前六个月任意一个月的银行卡工资流水，证书需为非协会类证书。</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详细评审---服务团队.docx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价格分统一采用低价优先法计算，即满足磋商文件要求且磋商价格最低的磋商报价为磋商基准价，其价格分为满分。其他供应商的价格分统一按照下列公式计算：磋商报价得分=(磋商基准价／磋商报价)×10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详见附件：详细评审---参数响应.docx</w:t>
      </w:r>
    </w:p>
    <w:p>
      <w:pPr>
        <w:pStyle w:val="null3"/>
        <w:ind w:firstLine="960"/>
      </w:pPr>
      <w:r>
        <w:rPr>
          <w:rFonts w:ascii="仿宋_GB2312" w:hAnsi="仿宋_GB2312" w:cs="仿宋_GB2312" w:eastAsia="仿宋_GB2312"/>
        </w:rPr>
        <w:t>详见附件：详细评审---服务方案.docx</w:t>
      </w:r>
    </w:p>
    <w:p>
      <w:pPr>
        <w:pStyle w:val="null3"/>
        <w:ind w:firstLine="960"/>
      </w:pPr>
      <w:r>
        <w:rPr>
          <w:rFonts w:ascii="仿宋_GB2312" w:hAnsi="仿宋_GB2312" w:cs="仿宋_GB2312" w:eastAsia="仿宋_GB2312"/>
        </w:rPr>
        <w:t>详见附件：详细评审---服务团队.docx</w:t>
      </w:r>
    </w:p>
    <w:p>
      <w:pPr>
        <w:pStyle w:val="null3"/>
        <w:ind w:firstLine="960"/>
      </w:pPr>
      <w:r>
        <w:rPr>
          <w:rFonts w:ascii="仿宋_GB2312" w:hAnsi="仿宋_GB2312" w:cs="仿宋_GB2312" w:eastAsia="仿宋_GB2312"/>
        </w:rPr>
        <w:t>详见附件：详细评审---技术服务负责人.docx</w:t>
      </w:r>
    </w:p>
    <w:p>
      <w:pPr>
        <w:pStyle w:val="null3"/>
        <w:ind w:firstLine="960"/>
      </w:pPr>
      <w:r>
        <w:rPr>
          <w:rFonts w:ascii="仿宋_GB2312" w:hAnsi="仿宋_GB2312" w:cs="仿宋_GB2312" w:eastAsia="仿宋_GB2312"/>
        </w:rPr>
        <w:t>详见附件：详细评审---履约能力.docx</w:t>
      </w:r>
    </w:p>
    <w:p>
      <w:pPr>
        <w:pStyle w:val="null3"/>
        <w:ind w:firstLine="960"/>
      </w:pPr>
      <w:r>
        <w:rPr>
          <w:rFonts w:ascii="仿宋_GB2312" w:hAnsi="仿宋_GB2312" w:cs="仿宋_GB2312" w:eastAsia="仿宋_GB2312"/>
        </w:rPr>
        <w:t>详见附件：详细评审---团队管理方案.docx</w:t>
      </w:r>
    </w:p>
    <w:p>
      <w:pPr>
        <w:pStyle w:val="null3"/>
        <w:ind w:firstLine="960"/>
      </w:pPr>
      <w:r>
        <w:rPr>
          <w:rFonts w:ascii="仿宋_GB2312" w:hAnsi="仿宋_GB2312" w:cs="仿宋_GB2312" w:eastAsia="仿宋_GB2312"/>
        </w:rPr>
        <w:t>详见附件：详细评审---项目经理.docx</w:t>
      </w:r>
    </w:p>
    <w:p>
      <w:pPr>
        <w:pStyle w:val="null3"/>
        <w:ind w:firstLine="960"/>
      </w:pPr>
      <w:r>
        <w:rPr>
          <w:rFonts w:ascii="仿宋_GB2312" w:hAnsi="仿宋_GB2312" w:cs="仿宋_GB2312" w:eastAsia="仿宋_GB2312"/>
        </w:rPr>
        <w:t>详见附件：详细评审---项目需求分析.docx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详见附件：详细评审---整体设计.docx</w:t>
      </w:r>
    </w:p>
    <w:p>
      <w:pPr>
        <w:pStyle w:val="null3"/>
        <w:ind w:firstLine="960"/>
      </w:pPr>
      <w:r>
        <w:rPr>
          <w:rFonts w:ascii="仿宋_GB2312" w:hAnsi="仿宋_GB2312" w:cs="仿宋_GB2312" w:eastAsia="仿宋_GB2312"/>
        </w:rPr>
        <w:t>详见附件：详细评审---质量保障方案.docx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