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F6A82">
      <w:pPr>
        <w:wordWrap w:val="0"/>
        <w:spacing w:after="0" w:line="360" w:lineRule="auto"/>
        <w:jc w:val="right"/>
        <w:rPr>
          <w:rFonts w:hint="eastAsia" w:ascii="黑体" w:hAnsi="黑体" w:eastAsia="黑体" w:cs="微软雅黑"/>
          <w:color w:val="auto"/>
          <w:sz w:val="32"/>
          <w:szCs w:val="32"/>
          <w:highlight w:val="none"/>
          <w:lang w:val="en-US" w:eastAsia="zh-CN"/>
        </w:rPr>
      </w:pPr>
    </w:p>
    <w:p w14:paraId="25A1B23F">
      <w:pPr>
        <w:wordWrap w:val="0"/>
        <w:spacing w:after="0" w:line="360" w:lineRule="auto"/>
        <w:jc w:val="right"/>
        <w:rPr>
          <w:rFonts w:ascii="微软雅黑" w:cs="微软雅黑"/>
          <w:color w:val="auto"/>
          <w:sz w:val="18"/>
          <w:szCs w:val="18"/>
          <w:highlight w:val="none"/>
        </w:rPr>
      </w:pPr>
      <w:r>
        <w:rPr>
          <w:rFonts w:hint="eastAsia" w:ascii="黑体" w:hAnsi="黑体" w:eastAsia="黑体" w:cs="微软雅黑"/>
          <w:color w:val="auto"/>
          <w:sz w:val="32"/>
          <w:szCs w:val="32"/>
          <w:highlight w:val="none"/>
          <w:lang w:val="en-US" w:eastAsia="zh-CN"/>
        </w:rPr>
        <w:t>项目</w:t>
      </w:r>
      <w:r>
        <w:rPr>
          <w:rFonts w:hint="eastAsia" w:ascii="黑体" w:hAnsi="黑体" w:eastAsia="黑体" w:cs="微软雅黑"/>
          <w:color w:val="auto"/>
          <w:sz w:val="32"/>
          <w:szCs w:val="32"/>
          <w:highlight w:val="none"/>
        </w:rPr>
        <w:t>编号：</w:t>
      </w:r>
      <w:r>
        <w:rPr>
          <w:rFonts w:hint="eastAsia" w:ascii="黑体" w:hAnsi="黑体" w:eastAsia="黑体" w:cs="微软雅黑"/>
          <w:color w:val="auto"/>
          <w:sz w:val="32"/>
          <w:szCs w:val="32"/>
          <w:highlight w:val="none"/>
          <w:lang w:val="en-US" w:eastAsia="zh-CN"/>
        </w:rPr>
        <w:t xml:space="preserve">          </w:t>
      </w:r>
    </w:p>
    <w:p w14:paraId="0C95492D">
      <w:pPr>
        <w:pStyle w:val="3"/>
        <w:rPr>
          <w:color w:val="auto"/>
          <w:highlight w:val="none"/>
        </w:rPr>
      </w:pPr>
    </w:p>
    <w:p w14:paraId="5BE41A7B">
      <w:pPr>
        <w:spacing w:after="0" w:line="360" w:lineRule="auto"/>
        <w:jc w:val="center"/>
        <w:rPr>
          <w:rFonts w:hint="eastAsia" w:ascii="黑体" w:hAnsi="黑体" w:eastAsia="黑体"/>
          <w:b/>
          <w:color w:val="auto"/>
          <w:sz w:val="28"/>
          <w:szCs w:val="28"/>
          <w:highlight w:val="none"/>
          <w:lang w:eastAsia="zh-CN"/>
        </w:rPr>
      </w:pPr>
      <w:r>
        <w:rPr>
          <w:rFonts w:hint="eastAsia" w:ascii="黑体" w:eastAsia="黑体" w:cs="Arial"/>
          <w:b/>
          <w:color w:val="auto"/>
          <w:sz w:val="32"/>
          <w:szCs w:val="32"/>
          <w:highlight w:val="none"/>
          <w:lang w:eastAsia="zh-CN"/>
        </w:rPr>
        <w:t>延安大学附属医院飞利浦IQON能谱CT保修项目</w:t>
      </w:r>
    </w:p>
    <w:p w14:paraId="15460041">
      <w:pPr>
        <w:pStyle w:val="3"/>
        <w:rPr>
          <w:color w:val="auto"/>
          <w:highlight w:val="none"/>
        </w:rPr>
      </w:pPr>
    </w:p>
    <w:p w14:paraId="34279641">
      <w:pPr>
        <w:spacing w:after="0" w:line="360" w:lineRule="auto"/>
        <w:jc w:val="center"/>
        <w:rPr>
          <w:rFonts w:ascii="黑体" w:hAnsi="黑体" w:eastAsia="黑体"/>
          <w:b/>
          <w:color w:val="auto"/>
          <w:sz w:val="44"/>
          <w:szCs w:val="44"/>
          <w:highlight w:val="none"/>
        </w:rPr>
      </w:pPr>
      <w:r>
        <w:rPr>
          <w:rFonts w:hint="eastAsia" w:ascii="黑体" w:hAnsi="黑体" w:eastAsia="黑体"/>
          <w:b/>
          <w:color w:val="auto"/>
          <w:sz w:val="44"/>
          <w:szCs w:val="44"/>
          <w:highlight w:val="none"/>
        </w:rPr>
        <w:t>合</w:t>
      </w:r>
    </w:p>
    <w:p w14:paraId="0FC66597">
      <w:pPr>
        <w:spacing w:after="0" w:line="360" w:lineRule="auto"/>
        <w:jc w:val="center"/>
        <w:rPr>
          <w:rFonts w:ascii="黑体" w:hAnsi="黑体" w:eastAsia="黑体"/>
          <w:b/>
          <w:color w:val="auto"/>
          <w:sz w:val="44"/>
          <w:szCs w:val="44"/>
          <w:highlight w:val="none"/>
        </w:rPr>
      </w:pPr>
    </w:p>
    <w:p w14:paraId="4CA1EF75">
      <w:pPr>
        <w:spacing w:after="0" w:line="360" w:lineRule="auto"/>
        <w:jc w:val="center"/>
        <w:rPr>
          <w:rFonts w:ascii="黑体" w:hAnsi="黑体" w:eastAsia="黑体"/>
          <w:b/>
          <w:color w:val="auto"/>
          <w:sz w:val="44"/>
          <w:szCs w:val="44"/>
          <w:highlight w:val="none"/>
        </w:rPr>
      </w:pPr>
      <w:r>
        <w:rPr>
          <w:rFonts w:hint="eastAsia" w:ascii="黑体" w:hAnsi="黑体" w:eastAsia="黑体"/>
          <w:b/>
          <w:color w:val="auto"/>
          <w:sz w:val="44"/>
          <w:szCs w:val="44"/>
          <w:highlight w:val="none"/>
        </w:rPr>
        <w:t>同</w:t>
      </w:r>
    </w:p>
    <w:p w14:paraId="1B3BA2A4">
      <w:pPr>
        <w:spacing w:after="0" w:line="360" w:lineRule="auto"/>
        <w:jc w:val="center"/>
        <w:rPr>
          <w:rFonts w:ascii="黑体" w:hAnsi="黑体" w:eastAsia="黑体"/>
          <w:b/>
          <w:color w:val="auto"/>
          <w:sz w:val="44"/>
          <w:szCs w:val="44"/>
          <w:highlight w:val="none"/>
        </w:rPr>
      </w:pPr>
    </w:p>
    <w:p w14:paraId="2F6B5316">
      <w:pPr>
        <w:spacing w:after="0" w:line="360" w:lineRule="auto"/>
        <w:jc w:val="center"/>
        <w:rPr>
          <w:rFonts w:ascii="黑体" w:hAnsi="黑体" w:eastAsia="黑体"/>
          <w:b/>
          <w:color w:val="auto"/>
          <w:sz w:val="44"/>
          <w:szCs w:val="44"/>
          <w:highlight w:val="none"/>
        </w:rPr>
      </w:pPr>
      <w:r>
        <w:rPr>
          <w:rFonts w:hint="eastAsia" w:ascii="黑体" w:hAnsi="黑体" w:eastAsia="黑体"/>
          <w:b/>
          <w:color w:val="auto"/>
          <w:sz w:val="44"/>
          <w:szCs w:val="44"/>
          <w:highlight w:val="none"/>
        </w:rPr>
        <w:t>书</w:t>
      </w:r>
    </w:p>
    <w:p w14:paraId="1BDABB62">
      <w:pPr>
        <w:spacing w:after="0" w:line="360" w:lineRule="auto"/>
        <w:rPr>
          <w:rFonts w:ascii="黑体" w:hAnsi="黑体" w:eastAsia="黑体"/>
          <w:color w:val="auto"/>
          <w:sz w:val="44"/>
          <w:szCs w:val="44"/>
          <w:highlight w:val="none"/>
        </w:rPr>
      </w:pPr>
    </w:p>
    <w:p w14:paraId="460D06AA">
      <w:pPr>
        <w:pStyle w:val="3"/>
        <w:rPr>
          <w:color w:val="auto"/>
          <w:highlight w:val="none"/>
        </w:rPr>
      </w:pPr>
    </w:p>
    <w:p w14:paraId="27C9631C">
      <w:pPr>
        <w:pStyle w:val="3"/>
        <w:rPr>
          <w:color w:val="auto"/>
          <w:highlight w:val="none"/>
        </w:rPr>
      </w:pPr>
    </w:p>
    <w:p w14:paraId="592EC2A5">
      <w:pPr>
        <w:rPr>
          <w:color w:val="auto"/>
          <w:highlight w:val="none"/>
        </w:rPr>
      </w:pPr>
    </w:p>
    <w:p w14:paraId="526522DB">
      <w:pPr>
        <w:spacing w:after="0" w:line="360" w:lineRule="auto"/>
        <w:ind w:firstLine="1760" w:firstLineChars="550"/>
        <w:rPr>
          <w:rFonts w:ascii="楷体" w:hAnsi="楷体" w:eastAsia="楷体"/>
          <w:color w:val="auto"/>
          <w:sz w:val="32"/>
          <w:szCs w:val="32"/>
          <w:highlight w:val="none"/>
        </w:rPr>
      </w:pPr>
      <w:r>
        <w:rPr>
          <w:rFonts w:hint="eastAsia" w:ascii="楷体" w:hAnsi="楷体" w:eastAsia="楷体"/>
          <w:color w:val="auto"/>
          <w:sz w:val="32"/>
          <w:szCs w:val="32"/>
          <w:highlight w:val="none"/>
        </w:rPr>
        <w:t>甲</w:t>
      </w:r>
      <w:r>
        <w:rPr>
          <w:rFonts w:ascii="楷体" w:hAnsi="楷体" w:eastAsia="楷体"/>
          <w:color w:val="auto"/>
          <w:sz w:val="32"/>
          <w:szCs w:val="32"/>
          <w:highlight w:val="none"/>
        </w:rPr>
        <w:t xml:space="preserve">    </w:t>
      </w:r>
      <w:r>
        <w:rPr>
          <w:rFonts w:hint="eastAsia" w:ascii="楷体" w:hAnsi="楷体" w:eastAsia="楷体"/>
          <w:color w:val="auto"/>
          <w:sz w:val="32"/>
          <w:szCs w:val="32"/>
          <w:highlight w:val="none"/>
        </w:rPr>
        <w:t>方：</w:t>
      </w:r>
      <w:r>
        <w:rPr>
          <w:rFonts w:hint="eastAsia" w:ascii="楷体" w:hAnsi="楷体" w:eastAsia="楷体"/>
          <w:color w:val="auto"/>
          <w:sz w:val="32"/>
          <w:szCs w:val="32"/>
          <w:highlight w:val="none"/>
          <w:u w:val="single"/>
        </w:rPr>
        <w:t>延安大学附属医院</w:t>
      </w:r>
    </w:p>
    <w:p w14:paraId="27CD1422">
      <w:pPr>
        <w:spacing w:after="0" w:line="360" w:lineRule="auto"/>
        <w:ind w:firstLine="1760" w:firstLineChars="550"/>
        <w:rPr>
          <w:rFonts w:hint="default" w:ascii="楷体" w:hAnsi="楷体" w:eastAsia="楷体"/>
          <w:color w:val="auto"/>
          <w:sz w:val="32"/>
          <w:szCs w:val="32"/>
          <w:highlight w:val="none"/>
          <w:u w:val="single"/>
          <w:lang w:val="en-US" w:eastAsia="zh-CN"/>
        </w:rPr>
      </w:pPr>
      <w:r>
        <w:rPr>
          <w:rFonts w:hint="eastAsia" w:ascii="楷体" w:hAnsi="楷体" w:eastAsia="楷体"/>
          <w:color w:val="auto"/>
          <w:sz w:val="32"/>
          <w:szCs w:val="32"/>
          <w:highlight w:val="none"/>
        </w:rPr>
        <w:t>乙</w:t>
      </w:r>
      <w:r>
        <w:rPr>
          <w:rFonts w:ascii="楷体" w:hAnsi="楷体" w:eastAsia="楷体"/>
          <w:color w:val="auto"/>
          <w:sz w:val="32"/>
          <w:szCs w:val="32"/>
          <w:highlight w:val="none"/>
        </w:rPr>
        <w:t xml:space="preserve">    </w:t>
      </w:r>
      <w:r>
        <w:rPr>
          <w:rFonts w:hint="eastAsia" w:ascii="楷体" w:hAnsi="楷体" w:eastAsia="楷体"/>
          <w:color w:val="auto"/>
          <w:sz w:val="32"/>
          <w:szCs w:val="32"/>
          <w:highlight w:val="none"/>
        </w:rPr>
        <w:t>方：</w:t>
      </w:r>
      <w:r>
        <w:rPr>
          <w:rFonts w:hint="eastAsia" w:ascii="楷体" w:hAnsi="楷体" w:eastAsia="楷体"/>
          <w:color w:val="auto"/>
          <w:sz w:val="32"/>
          <w:szCs w:val="32"/>
          <w:highlight w:val="none"/>
          <w:u w:val="single"/>
          <w:lang w:val="en-US" w:eastAsia="zh-CN"/>
        </w:rPr>
        <w:t>有限公司</w:t>
      </w:r>
    </w:p>
    <w:p w14:paraId="25F7EB6E">
      <w:pPr>
        <w:spacing w:after="0" w:line="360" w:lineRule="auto"/>
        <w:ind w:firstLine="1760" w:firstLineChars="550"/>
        <w:rPr>
          <w:rFonts w:ascii="楷体" w:hAnsi="楷体" w:eastAsia="楷体"/>
          <w:color w:val="auto"/>
          <w:sz w:val="32"/>
          <w:szCs w:val="32"/>
          <w:highlight w:val="none"/>
        </w:rPr>
      </w:pPr>
      <w:r>
        <w:rPr>
          <w:rFonts w:hint="eastAsia" w:ascii="楷体" w:hAnsi="楷体" w:eastAsia="楷体"/>
          <w:color w:val="auto"/>
          <w:sz w:val="32"/>
          <w:szCs w:val="32"/>
          <w:highlight w:val="none"/>
        </w:rPr>
        <w:t>签订地点：</w:t>
      </w:r>
      <w:r>
        <w:rPr>
          <w:rFonts w:hint="eastAsia" w:ascii="楷体" w:hAnsi="楷体" w:eastAsia="楷体"/>
          <w:color w:val="auto"/>
          <w:sz w:val="32"/>
          <w:szCs w:val="32"/>
          <w:highlight w:val="none"/>
          <w:u w:val="single"/>
        </w:rPr>
        <w:t>招标采供科</w:t>
      </w:r>
    </w:p>
    <w:p w14:paraId="56AE3589">
      <w:pPr>
        <w:spacing w:after="0" w:line="360" w:lineRule="auto"/>
        <w:jc w:val="both"/>
        <w:rPr>
          <w:rFonts w:ascii="楷体" w:hAnsi="楷体" w:eastAsia="楷体"/>
          <w:color w:val="auto"/>
          <w:sz w:val="32"/>
          <w:szCs w:val="32"/>
          <w:highlight w:val="none"/>
        </w:rPr>
      </w:pPr>
    </w:p>
    <w:p w14:paraId="03EC8907">
      <w:pPr>
        <w:spacing w:after="0" w:line="360" w:lineRule="auto"/>
        <w:jc w:val="center"/>
        <w:rPr>
          <w:rFonts w:hint="eastAsia" w:ascii="楷体" w:hAnsi="楷体" w:eastAsia="楷体"/>
          <w:color w:val="auto"/>
          <w:sz w:val="32"/>
          <w:szCs w:val="32"/>
          <w:highlight w:val="none"/>
        </w:rPr>
      </w:pPr>
      <w:r>
        <w:rPr>
          <w:rFonts w:hint="eastAsia" w:ascii="楷体" w:hAnsi="楷体" w:eastAsia="楷体"/>
          <w:color w:val="auto"/>
          <w:sz w:val="32"/>
          <w:szCs w:val="32"/>
          <w:highlight w:val="none"/>
        </w:rPr>
        <w:t>延安大学附属医院招标采供科制</w:t>
      </w:r>
    </w:p>
    <w:p w14:paraId="59AB7E04">
      <w:pPr>
        <w:spacing w:after="0" w:line="360" w:lineRule="auto"/>
        <w:jc w:val="center"/>
        <w:rPr>
          <w:rFonts w:hint="eastAsia" w:ascii="楷体" w:hAnsi="楷体" w:eastAsia="楷体"/>
          <w:color w:val="auto"/>
          <w:sz w:val="32"/>
          <w:szCs w:val="32"/>
          <w:highlight w:val="none"/>
        </w:rPr>
      </w:pPr>
    </w:p>
    <w:p w14:paraId="66BE11B5">
      <w:pPr>
        <w:spacing w:after="0" w:line="360" w:lineRule="auto"/>
        <w:jc w:val="center"/>
        <w:rPr>
          <w:rFonts w:hint="eastAsia" w:ascii="楷体" w:hAnsi="楷体" w:eastAsia="楷体"/>
          <w:color w:val="auto"/>
          <w:sz w:val="32"/>
          <w:szCs w:val="32"/>
          <w:highlight w:val="none"/>
        </w:rPr>
      </w:pPr>
    </w:p>
    <w:p w14:paraId="4A8C611C">
      <w:pPr>
        <w:spacing w:after="0" w:line="360" w:lineRule="auto"/>
        <w:jc w:val="center"/>
        <w:rPr>
          <w:rFonts w:hint="eastAsia" w:ascii="楷体" w:hAnsi="楷体" w:eastAsia="楷体"/>
          <w:color w:val="auto"/>
          <w:sz w:val="32"/>
          <w:szCs w:val="32"/>
          <w:highlight w:val="none"/>
        </w:rPr>
      </w:pPr>
    </w:p>
    <w:p w14:paraId="56CA35CE">
      <w:pPr>
        <w:widowControl/>
        <w:autoSpaceDE w:val="0"/>
        <w:adjustRightInd w:val="0"/>
        <w:snapToGrid w:val="0"/>
        <w:spacing w:line="580" w:lineRule="exact"/>
        <w:ind w:firstLine="482" w:firstLineChars="200"/>
        <w:jc w:val="left"/>
        <w:rPr>
          <w:rFonts w:hint="eastAsia" w:ascii="仿宋" w:hAnsi="仿宋" w:eastAsia="仿宋" w:cs="仿宋"/>
          <w:b/>
          <w:bCs/>
          <w:sz w:val="24"/>
          <w:szCs w:val="24"/>
          <w:lang w:val="zh-CN"/>
        </w:rPr>
      </w:pPr>
      <w:r>
        <w:rPr>
          <w:rFonts w:hint="eastAsia" w:ascii="仿宋" w:hAnsi="仿宋" w:eastAsia="仿宋" w:cs="仿宋"/>
          <w:b/>
          <w:bCs/>
          <w:sz w:val="24"/>
          <w:szCs w:val="24"/>
          <w:lang w:val="zh-CN"/>
        </w:rPr>
        <w:t>（此合同只作为参考，最终签订的合同以采购人确定的合同内容为准。）</w:t>
      </w:r>
    </w:p>
    <w:p w14:paraId="291B2C57">
      <w:pPr>
        <w:spacing w:after="0" w:line="360" w:lineRule="auto"/>
        <w:jc w:val="center"/>
        <w:rPr>
          <w:rFonts w:asciiTheme="minorEastAsia" w:hAnsiTheme="minorEastAsia" w:eastAsiaTheme="minorEastAsia"/>
          <w:b/>
          <w:bCs/>
          <w:color w:val="auto"/>
          <w:kern w:val="44"/>
          <w:sz w:val="40"/>
          <w:highlight w:val="none"/>
        </w:rPr>
      </w:pPr>
      <w:r>
        <w:rPr>
          <w:rFonts w:hint="eastAsia" w:asciiTheme="minorEastAsia" w:hAnsiTheme="minorEastAsia" w:eastAsiaTheme="minorEastAsia"/>
          <w:b/>
          <w:bCs/>
          <w:color w:val="auto"/>
          <w:kern w:val="44"/>
          <w:sz w:val="40"/>
          <w:highlight w:val="none"/>
          <w:lang w:eastAsia="zh-CN"/>
        </w:rPr>
        <w:t>保修</w:t>
      </w:r>
      <w:r>
        <w:rPr>
          <w:rFonts w:hint="eastAsia" w:asciiTheme="minorEastAsia" w:hAnsiTheme="minorEastAsia" w:eastAsiaTheme="minorEastAsia"/>
          <w:b/>
          <w:bCs/>
          <w:color w:val="auto"/>
          <w:kern w:val="44"/>
          <w:sz w:val="40"/>
          <w:highlight w:val="none"/>
        </w:rPr>
        <w:t>项目合同书</w:t>
      </w:r>
    </w:p>
    <w:p w14:paraId="2425FD13">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甲方：延安大学附属医院（以下简称甲方）</w:t>
      </w:r>
    </w:p>
    <w:p w14:paraId="5D4CF85A">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统一信用代码：12610000436450686U</w:t>
      </w:r>
    </w:p>
    <w:p w14:paraId="7EC2C9B0">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法定代表人：</w:t>
      </w:r>
    </w:p>
    <w:p w14:paraId="62C22DBB">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地址：陕西省延安市宝塔区北大街43号院 </w:t>
      </w:r>
    </w:p>
    <w:p w14:paraId="6C93F4A6">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电话：(0911)2881002   传真: (0911)2881002  邮编: 716000</w:t>
      </w:r>
    </w:p>
    <w:p w14:paraId="51EE64C5">
      <w:pPr>
        <w:spacing w:beforeLines="50"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乙方：（以下简称乙方）</w:t>
      </w:r>
      <w:bookmarkStart w:id="0" w:name="_GoBack"/>
      <w:bookmarkEnd w:id="0"/>
    </w:p>
    <w:p w14:paraId="73BA08B8">
      <w:pPr>
        <w:spacing w:after="0" w:line="360" w:lineRule="auto"/>
        <w:jc w:val="both"/>
        <w:rPr>
          <w:rFonts w:hint="eastAsia" w:ascii="宋体" w:hAnsi="宋体" w:eastAsia="宋体"/>
          <w:color w:val="auto"/>
          <w:sz w:val="24"/>
          <w:szCs w:val="24"/>
          <w:highlight w:val="none"/>
          <w:lang w:val="en-US" w:eastAsia="zh-CN"/>
        </w:rPr>
      </w:pPr>
      <w:r>
        <w:rPr>
          <w:rFonts w:hint="eastAsia" w:asciiTheme="minorEastAsia" w:hAnsiTheme="minorEastAsia" w:eastAsiaTheme="minorEastAsia"/>
          <w:color w:val="auto"/>
          <w:sz w:val="24"/>
          <w:szCs w:val="24"/>
          <w:highlight w:val="none"/>
        </w:rPr>
        <w:t>统一信用代码：</w:t>
      </w:r>
    </w:p>
    <w:p w14:paraId="16442149">
      <w:pPr>
        <w:spacing w:after="0" w:line="360" w:lineRule="auto"/>
        <w:jc w:val="both"/>
        <w:rPr>
          <w:rFonts w:hint="eastAsia" w:asciiTheme="minorEastAsia" w:hAnsiTheme="minorEastAsia" w:eastAsiaTheme="minorEastAsia"/>
          <w:color w:val="auto"/>
          <w:sz w:val="24"/>
          <w:szCs w:val="24"/>
          <w:highlight w:val="none"/>
          <w:lang w:val="en-US" w:eastAsia="zh-CN"/>
        </w:rPr>
      </w:pPr>
      <w:r>
        <w:rPr>
          <w:rFonts w:hint="eastAsia" w:asciiTheme="minorEastAsia" w:hAnsiTheme="minorEastAsia" w:eastAsiaTheme="minorEastAsia"/>
          <w:color w:val="auto"/>
          <w:sz w:val="24"/>
          <w:szCs w:val="24"/>
          <w:highlight w:val="none"/>
        </w:rPr>
        <w:t>法定代表人：</w:t>
      </w:r>
    </w:p>
    <w:p w14:paraId="7D79B577">
      <w:pPr>
        <w:spacing w:after="0" w:line="360" w:lineRule="auto"/>
        <w:jc w:val="both"/>
        <w:rPr>
          <w:rFonts w:hint="eastAsia" w:ascii="宋体" w:hAnsi="宋体" w:eastAsia="宋体"/>
          <w:color w:val="auto"/>
          <w:sz w:val="24"/>
          <w:szCs w:val="24"/>
          <w:highlight w:val="none"/>
          <w:lang w:val="en-US" w:eastAsia="zh-CN"/>
        </w:rPr>
      </w:pPr>
      <w:r>
        <w:rPr>
          <w:rFonts w:hint="eastAsia" w:asciiTheme="minorEastAsia" w:hAnsiTheme="minorEastAsia" w:eastAsiaTheme="minorEastAsia"/>
          <w:color w:val="auto"/>
          <w:sz w:val="24"/>
          <w:szCs w:val="24"/>
          <w:highlight w:val="none"/>
        </w:rPr>
        <w:t>地址：</w:t>
      </w:r>
    </w:p>
    <w:p w14:paraId="035384B6">
      <w:pPr>
        <w:spacing w:after="0" w:line="360" w:lineRule="auto"/>
        <w:jc w:val="both"/>
        <w:rPr>
          <w:rFonts w:hint="default" w:eastAsia="宋体" w:asciiTheme="minorEastAsia" w:hAnsiTheme="minorEastAsia"/>
          <w:color w:val="auto"/>
          <w:sz w:val="24"/>
          <w:szCs w:val="24"/>
          <w:highlight w:val="none"/>
          <w:lang w:val="en-US" w:eastAsia="zh-CN"/>
        </w:rPr>
      </w:pPr>
      <w:r>
        <w:rPr>
          <w:rFonts w:hint="eastAsia" w:ascii="宋体" w:hAnsi="宋体" w:eastAsia="宋体"/>
          <w:color w:val="auto"/>
          <w:sz w:val="24"/>
          <w:szCs w:val="24"/>
          <w:highlight w:val="none"/>
        </w:rPr>
        <w:t xml:space="preserve">电话: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邮编:</w:t>
      </w:r>
    </w:p>
    <w:p w14:paraId="727C9C10">
      <w:pPr>
        <w:tabs>
          <w:tab w:val="left" w:pos="540"/>
        </w:tabs>
        <w:spacing w:beforeLines="100" w:after="0" w:line="360" w:lineRule="auto"/>
        <w:ind w:firstLine="480" w:firstLineChars="200"/>
        <w:jc w:val="both"/>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根据《中华人民共和国民法典》及相关法律法规之规定,甲乙双方本着诚实信用、相互合作、平等互利的原则，就医疗设备的服务购买事宜,为明确双方的权利义务，特订立本合同，双方共同信守。</w:t>
      </w:r>
    </w:p>
    <w:p w14:paraId="5186234A">
      <w:pPr>
        <w:tabs>
          <w:tab w:val="left" w:pos="540"/>
        </w:tabs>
        <w:spacing w:after="0" w:line="520" w:lineRule="exact"/>
        <w:jc w:val="both"/>
        <w:rPr>
          <w:rFonts w:cs="黑体" w:asciiTheme="minorEastAsia" w:hAnsiTheme="minorEastAsia" w:eastAsiaTheme="minorEastAsia"/>
          <w:b/>
          <w:color w:val="auto"/>
          <w:sz w:val="24"/>
          <w:szCs w:val="24"/>
          <w:highlight w:val="none"/>
        </w:rPr>
      </w:pPr>
      <w:r>
        <w:rPr>
          <w:rFonts w:hint="eastAsia" w:cs="仿宋" w:asciiTheme="minorEastAsia" w:hAnsiTheme="minorEastAsia" w:eastAsiaTheme="minorEastAsia"/>
          <w:b/>
          <w:bCs/>
          <w:color w:val="auto"/>
          <w:sz w:val="24"/>
          <w:szCs w:val="24"/>
          <w:highlight w:val="none"/>
        </w:rPr>
        <w:t>第一条</w:t>
      </w:r>
      <w:r>
        <w:rPr>
          <w:rFonts w:hint="eastAsia" w:cs="仿宋" w:asciiTheme="minorEastAsia" w:hAnsiTheme="minorEastAsia" w:eastAsiaTheme="minorEastAsia"/>
          <w:bCs/>
          <w:color w:val="auto"/>
          <w:sz w:val="24"/>
          <w:szCs w:val="24"/>
          <w:highlight w:val="none"/>
        </w:rPr>
        <w:t xml:space="preserve"> 合同产品:乙方负责向甲方</w:t>
      </w:r>
      <w:r>
        <w:rPr>
          <w:rFonts w:hint="eastAsia" w:cs="仿宋" w:asciiTheme="minorEastAsia" w:hAnsiTheme="minorEastAsia" w:eastAsiaTheme="minorEastAsia"/>
          <w:bCs/>
          <w:color w:val="auto"/>
          <w:sz w:val="24"/>
          <w:szCs w:val="24"/>
          <w:highlight w:val="none"/>
          <w:lang w:eastAsia="zh-CN"/>
        </w:rPr>
        <w:t>提供</w:t>
      </w:r>
      <w:r>
        <w:rPr>
          <w:rFonts w:hint="eastAsia" w:cs="仿宋" w:asciiTheme="minorEastAsia" w:hAnsiTheme="minorEastAsia" w:eastAsiaTheme="minorEastAsia"/>
          <w:bCs/>
          <w:color w:val="auto"/>
          <w:sz w:val="24"/>
          <w:szCs w:val="24"/>
          <w:highlight w:val="none"/>
        </w:rPr>
        <w:t>下表中所列产品的保修服务：</w:t>
      </w:r>
      <w:r>
        <w:rPr>
          <w:rFonts w:hint="eastAsia" w:asciiTheme="minorEastAsia" w:hAnsiTheme="minorEastAsia" w:eastAsiaTheme="minorEastAsia"/>
          <w:color w:val="auto"/>
          <w:sz w:val="28"/>
          <w:szCs w:val="28"/>
          <w:highlight w:val="none"/>
        </w:rPr>
        <w:t xml:space="preserve">       </w:t>
      </w:r>
    </w:p>
    <w:tbl>
      <w:tblPr>
        <w:tblStyle w:val="11"/>
        <w:tblpPr w:leftFromText="180" w:rightFromText="180" w:vertAnchor="text" w:horzAnchor="page" w:tblpX="957" w:tblpY="248"/>
        <w:tblOverlap w:val="never"/>
        <w:tblW w:w="993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3023"/>
        <w:gridCol w:w="1699"/>
        <w:gridCol w:w="1633"/>
        <w:gridCol w:w="1234"/>
        <w:gridCol w:w="1014"/>
        <w:gridCol w:w="1335"/>
      </w:tblGrid>
      <w:tr w14:paraId="2C19CE2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581" w:hRule="atLeast"/>
        </w:trPr>
        <w:tc>
          <w:tcPr>
            <w:tcW w:w="3023" w:type="dxa"/>
            <w:vAlign w:val="center"/>
          </w:tcPr>
          <w:p w14:paraId="2A82D571">
            <w:pPr>
              <w:tabs>
                <w:tab w:val="left" w:pos="8364"/>
              </w:tabs>
              <w:spacing w:after="0" w:line="360" w:lineRule="auto"/>
              <w:ind w:right="-58"/>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产品名称</w:t>
            </w:r>
          </w:p>
        </w:tc>
        <w:tc>
          <w:tcPr>
            <w:tcW w:w="1699" w:type="dxa"/>
            <w:vAlign w:val="center"/>
          </w:tcPr>
          <w:p w14:paraId="6BDF32CB">
            <w:pPr>
              <w:tabs>
                <w:tab w:val="left" w:pos="8364"/>
              </w:tabs>
              <w:spacing w:after="0" w:line="360" w:lineRule="auto"/>
              <w:ind w:right="-58"/>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规格型号</w:t>
            </w:r>
          </w:p>
        </w:tc>
        <w:tc>
          <w:tcPr>
            <w:tcW w:w="1633" w:type="dxa"/>
            <w:vAlign w:val="center"/>
          </w:tcPr>
          <w:p w14:paraId="2C79C9E3">
            <w:pPr>
              <w:tabs>
                <w:tab w:val="left" w:pos="8364"/>
              </w:tabs>
              <w:spacing w:after="0" w:line="360" w:lineRule="auto"/>
              <w:ind w:right="77" w:rightChars="35"/>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产地/品牌</w:t>
            </w:r>
          </w:p>
        </w:tc>
        <w:tc>
          <w:tcPr>
            <w:tcW w:w="1234" w:type="dxa"/>
            <w:tcBorders>
              <w:right w:val="single" w:color="auto" w:sz="4" w:space="0"/>
            </w:tcBorders>
            <w:vAlign w:val="center"/>
          </w:tcPr>
          <w:p w14:paraId="1A02A399">
            <w:pPr>
              <w:tabs>
                <w:tab w:val="left" w:pos="8364"/>
              </w:tabs>
              <w:spacing w:after="0" w:line="360" w:lineRule="auto"/>
              <w:ind w:right="77"/>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年限</w:t>
            </w:r>
          </w:p>
        </w:tc>
        <w:tc>
          <w:tcPr>
            <w:tcW w:w="1014" w:type="dxa"/>
            <w:tcBorders>
              <w:right w:val="single" w:color="auto" w:sz="4" w:space="0"/>
            </w:tcBorders>
            <w:vAlign w:val="center"/>
          </w:tcPr>
          <w:p w14:paraId="4951DE72">
            <w:pPr>
              <w:tabs>
                <w:tab w:val="left" w:pos="8364"/>
              </w:tabs>
              <w:spacing w:after="0" w:line="360" w:lineRule="auto"/>
              <w:ind w:right="-58"/>
              <w:jc w:val="center"/>
              <w:rPr>
                <w:rFonts w:hint="eastAsia" w:ascii="宋体" w:hAnsi="宋体" w:eastAsia="宋体" w:cs="黑体"/>
                <w:b/>
                <w:color w:val="auto"/>
                <w:sz w:val="24"/>
                <w:szCs w:val="24"/>
                <w:highlight w:val="none"/>
                <w:lang w:eastAsia="zh-CN"/>
              </w:rPr>
            </w:pPr>
            <w:r>
              <w:rPr>
                <w:rFonts w:hint="eastAsia" w:ascii="宋体" w:hAnsi="宋体" w:eastAsia="宋体" w:cs="黑体"/>
                <w:b/>
                <w:color w:val="auto"/>
                <w:sz w:val="24"/>
                <w:szCs w:val="24"/>
                <w:highlight w:val="none"/>
                <w:lang w:eastAsia="zh-CN"/>
              </w:rPr>
              <w:t>数量</w:t>
            </w:r>
          </w:p>
        </w:tc>
        <w:tc>
          <w:tcPr>
            <w:tcW w:w="1335" w:type="dxa"/>
            <w:tcBorders>
              <w:left w:val="single" w:color="auto" w:sz="4" w:space="0"/>
              <w:right w:val="single" w:color="auto" w:sz="4" w:space="0"/>
            </w:tcBorders>
            <w:vAlign w:val="center"/>
          </w:tcPr>
          <w:p w14:paraId="259612B2">
            <w:pPr>
              <w:tabs>
                <w:tab w:val="left" w:pos="8364"/>
              </w:tabs>
              <w:spacing w:after="0" w:line="360" w:lineRule="auto"/>
              <w:ind w:right="-58"/>
              <w:jc w:val="center"/>
              <w:rPr>
                <w:rFonts w:hint="eastAsia" w:ascii="宋体" w:hAnsi="宋体" w:eastAsia="宋体" w:cs="黑体"/>
                <w:b/>
                <w:color w:val="auto"/>
                <w:sz w:val="24"/>
                <w:szCs w:val="24"/>
                <w:highlight w:val="none"/>
                <w:lang w:eastAsia="zh-CN"/>
              </w:rPr>
            </w:pPr>
            <w:r>
              <w:rPr>
                <w:rFonts w:hint="eastAsia" w:ascii="宋体" w:hAnsi="宋体" w:eastAsia="宋体" w:cs="黑体"/>
                <w:b/>
                <w:color w:val="auto"/>
                <w:sz w:val="24"/>
                <w:szCs w:val="24"/>
                <w:highlight w:val="none"/>
                <w:lang w:eastAsia="zh-CN"/>
              </w:rPr>
              <w:t>价格</w:t>
            </w:r>
          </w:p>
        </w:tc>
      </w:tr>
      <w:tr w14:paraId="5E22E34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507" w:hRule="atLeast"/>
        </w:trPr>
        <w:tc>
          <w:tcPr>
            <w:tcW w:w="3023" w:type="dxa"/>
            <w:vAlign w:val="center"/>
          </w:tcPr>
          <w:p w14:paraId="77DDB15E">
            <w:pPr>
              <w:tabs>
                <w:tab w:val="left" w:pos="540"/>
              </w:tabs>
              <w:spacing w:beforeLines="100" w:after="0" w:line="360" w:lineRule="auto"/>
              <w:jc w:val="center"/>
              <w:rPr>
                <w:rFonts w:hint="eastAsia" w:cs="宋体" w:asciiTheme="minorEastAsia" w:hAnsiTheme="minorEastAsia" w:eastAsiaTheme="minorEastAsia"/>
                <w:color w:val="auto"/>
                <w:sz w:val="24"/>
                <w:szCs w:val="24"/>
                <w:highlight w:val="none"/>
                <w:lang w:eastAsia="zh-CN"/>
              </w:rPr>
            </w:pPr>
          </w:p>
        </w:tc>
        <w:tc>
          <w:tcPr>
            <w:tcW w:w="1699" w:type="dxa"/>
            <w:vAlign w:val="center"/>
          </w:tcPr>
          <w:p w14:paraId="2E14FB46">
            <w:pPr>
              <w:spacing w:after="0" w:line="360" w:lineRule="auto"/>
              <w:jc w:val="center"/>
              <w:rPr>
                <w:rFonts w:hint="default" w:ascii="宋体" w:hAnsi="宋体" w:eastAsia="宋体" w:cs="黑体"/>
                <w:color w:val="auto"/>
                <w:sz w:val="24"/>
                <w:szCs w:val="24"/>
                <w:highlight w:val="none"/>
                <w:lang w:val="en-US" w:eastAsia="zh-CN"/>
              </w:rPr>
            </w:pPr>
          </w:p>
        </w:tc>
        <w:tc>
          <w:tcPr>
            <w:tcW w:w="1633" w:type="dxa"/>
            <w:vAlign w:val="center"/>
          </w:tcPr>
          <w:p w14:paraId="3B01E2C8">
            <w:pPr>
              <w:spacing w:beforeLines="100" w:after="0" w:line="360" w:lineRule="auto"/>
              <w:jc w:val="center"/>
              <w:rPr>
                <w:rFonts w:hint="default" w:ascii="宋体" w:hAnsi="宋体" w:eastAsia="宋体" w:cs="Arial"/>
                <w:color w:val="auto"/>
                <w:sz w:val="24"/>
                <w:szCs w:val="24"/>
                <w:highlight w:val="none"/>
                <w:lang w:val="en-US" w:eastAsia="zh-CN"/>
              </w:rPr>
            </w:pPr>
          </w:p>
        </w:tc>
        <w:tc>
          <w:tcPr>
            <w:tcW w:w="1234" w:type="dxa"/>
            <w:tcBorders>
              <w:right w:val="single" w:color="auto" w:sz="4" w:space="0"/>
            </w:tcBorders>
            <w:vAlign w:val="center"/>
          </w:tcPr>
          <w:p w14:paraId="7B913BC8">
            <w:pPr>
              <w:spacing w:after="0" w:line="360" w:lineRule="auto"/>
              <w:jc w:val="center"/>
              <w:rPr>
                <w:rFonts w:ascii="宋体" w:hAnsi="宋体" w:eastAsia="宋体" w:cs="Arial"/>
                <w:color w:val="auto"/>
                <w:sz w:val="24"/>
                <w:szCs w:val="24"/>
                <w:highlight w:val="none"/>
              </w:rPr>
            </w:pPr>
          </w:p>
        </w:tc>
        <w:tc>
          <w:tcPr>
            <w:tcW w:w="1014" w:type="dxa"/>
            <w:tcBorders>
              <w:right w:val="single" w:color="auto" w:sz="4" w:space="0"/>
            </w:tcBorders>
            <w:vAlign w:val="center"/>
          </w:tcPr>
          <w:p w14:paraId="02B193FE">
            <w:pPr>
              <w:tabs>
                <w:tab w:val="left" w:pos="8364"/>
              </w:tabs>
              <w:spacing w:after="0" w:line="360" w:lineRule="auto"/>
              <w:jc w:val="center"/>
              <w:rPr>
                <w:rFonts w:hint="default" w:ascii="宋体" w:hAnsi="宋体" w:eastAsia="宋体" w:cs="宋体"/>
                <w:color w:val="auto"/>
                <w:sz w:val="24"/>
                <w:szCs w:val="24"/>
                <w:highlight w:val="none"/>
                <w:lang w:val="en-US" w:eastAsia="zh-CN"/>
              </w:rPr>
            </w:pPr>
          </w:p>
        </w:tc>
        <w:tc>
          <w:tcPr>
            <w:tcW w:w="1335" w:type="dxa"/>
            <w:tcBorders>
              <w:left w:val="single" w:color="auto" w:sz="4" w:space="0"/>
              <w:right w:val="single" w:color="auto" w:sz="4" w:space="0"/>
            </w:tcBorders>
            <w:vAlign w:val="center"/>
          </w:tcPr>
          <w:p w14:paraId="65457D13">
            <w:pPr>
              <w:tabs>
                <w:tab w:val="left" w:pos="8364"/>
              </w:tabs>
              <w:spacing w:after="0" w:line="360" w:lineRule="auto"/>
              <w:ind w:right="-58"/>
              <w:jc w:val="center"/>
              <w:rPr>
                <w:rFonts w:hint="default" w:ascii="宋体" w:hAnsi="宋体" w:eastAsia="宋体" w:cs="宋体"/>
                <w:color w:val="auto"/>
                <w:sz w:val="24"/>
                <w:szCs w:val="24"/>
                <w:highlight w:val="none"/>
                <w:lang w:val="en-US" w:eastAsia="zh-CN"/>
              </w:rPr>
            </w:pPr>
          </w:p>
        </w:tc>
      </w:tr>
      <w:tr w14:paraId="1A6B0C1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trPr>
        <w:tc>
          <w:tcPr>
            <w:tcW w:w="3023" w:type="dxa"/>
            <w:vAlign w:val="center"/>
          </w:tcPr>
          <w:p w14:paraId="7FA9D7E8">
            <w:pPr>
              <w:tabs>
                <w:tab w:val="left" w:pos="540"/>
              </w:tabs>
              <w:spacing w:beforeLines="100" w:after="0" w:line="360" w:lineRule="auto"/>
              <w:jc w:val="center"/>
              <w:rPr>
                <w:rFonts w:hint="eastAsia" w:cs="宋体" w:asciiTheme="minorEastAsia" w:hAnsiTheme="minorEastAsia" w:eastAsiaTheme="minorEastAsia"/>
                <w:color w:val="auto"/>
                <w:sz w:val="24"/>
                <w:szCs w:val="24"/>
                <w:highlight w:val="none"/>
                <w:lang w:eastAsia="zh-CN"/>
              </w:rPr>
            </w:pPr>
          </w:p>
        </w:tc>
        <w:tc>
          <w:tcPr>
            <w:tcW w:w="1699" w:type="dxa"/>
            <w:vAlign w:val="center"/>
          </w:tcPr>
          <w:p w14:paraId="6AE84E97">
            <w:pPr>
              <w:spacing w:after="0" w:line="360" w:lineRule="auto"/>
              <w:jc w:val="center"/>
              <w:rPr>
                <w:rFonts w:hint="eastAsia" w:ascii="宋体" w:hAnsi="宋体" w:eastAsia="宋体" w:cs="黑体"/>
                <w:color w:val="auto"/>
                <w:sz w:val="24"/>
                <w:szCs w:val="24"/>
                <w:highlight w:val="none"/>
                <w:lang w:val="en-US" w:eastAsia="zh-CN"/>
              </w:rPr>
            </w:pPr>
          </w:p>
        </w:tc>
        <w:tc>
          <w:tcPr>
            <w:tcW w:w="1633" w:type="dxa"/>
            <w:vAlign w:val="center"/>
          </w:tcPr>
          <w:p w14:paraId="6B6DE21F">
            <w:pPr>
              <w:spacing w:beforeLines="100" w:after="0" w:line="360" w:lineRule="auto"/>
              <w:jc w:val="center"/>
              <w:rPr>
                <w:rFonts w:hint="eastAsia" w:ascii="宋体" w:hAnsi="宋体" w:eastAsia="宋体" w:cs="黑体"/>
                <w:color w:val="auto"/>
                <w:sz w:val="24"/>
                <w:szCs w:val="24"/>
                <w:highlight w:val="none"/>
                <w:lang w:val="en-US" w:eastAsia="zh-CN"/>
              </w:rPr>
            </w:pPr>
          </w:p>
        </w:tc>
        <w:tc>
          <w:tcPr>
            <w:tcW w:w="1234" w:type="dxa"/>
            <w:tcBorders>
              <w:right w:val="single" w:color="auto" w:sz="4" w:space="0"/>
            </w:tcBorders>
            <w:vAlign w:val="center"/>
          </w:tcPr>
          <w:p w14:paraId="727D62A1">
            <w:pPr>
              <w:spacing w:after="0" w:line="360" w:lineRule="auto"/>
              <w:jc w:val="center"/>
              <w:rPr>
                <w:rFonts w:hint="eastAsia" w:ascii="宋体" w:hAnsi="宋体" w:eastAsia="宋体" w:cs="Arial"/>
                <w:color w:val="auto"/>
                <w:sz w:val="24"/>
                <w:szCs w:val="24"/>
                <w:highlight w:val="none"/>
                <w:lang w:val="en-US" w:eastAsia="zh-CN"/>
              </w:rPr>
            </w:pPr>
          </w:p>
        </w:tc>
        <w:tc>
          <w:tcPr>
            <w:tcW w:w="1014" w:type="dxa"/>
            <w:tcBorders>
              <w:right w:val="single" w:color="auto" w:sz="4" w:space="0"/>
            </w:tcBorders>
            <w:vAlign w:val="center"/>
          </w:tcPr>
          <w:p w14:paraId="77E949BA">
            <w:pPr>
              <w:tabs>
                <w:tab w:val="left" w:pos="8364"/>
              </w:tabs>
              <w:spacing w:after="0" w:line="360" w:lineRule="auto"/>
              <w:jc w:val="center"/>
              <w:rPr>
                <w:rFonts w:hint="eastAsia" w:ascii="宋体" w:hAnsi="宋体" w:eastAsia="宋体" w:cs="宋体"/>
                <w:color w:val="auto"/>
                <w:sz w:val="24"/>
                <w:szCs w:val="24"/>
                <w:highlight w:val="none"/>
                <w:lang w:val="en-US" w:eastAsia="zh-CN"/>
              </w:rPr>
            </w:pPr>
          </w:p>
        </w:tc>
        <w:tc>
          <w:tcPr>
            <w:tcW w:w="1335" w:type="dxa"/>
            <w:tcBorders>
              <w:left w:val="single" w:color="auto" w:sz="4" w:space="0"/>
              <w:right w:val="single" w:color="auto" w:sz="4" w:space="0"/>
            </w:tcBorders>
            <w:vAlign w:val="center"/>
          </w:tcPr>
          <w:p w14:paraId="772BDD24">
            <w:pPr>
              <w:tabs>
                <w:tab w:val="left" w:pos="8364"/>
              </w:tabs>
              <w:spacing w:after="0" w:line="360" w:lineRule="auto"/>
              <w:ind w:right="-58"/>
              <w:jc w:val="center"/>
              <w:rPr>
                <w:rFonts w:hint="eastAsia" w:ascii="宋体" w:hAnsi="宋体" w:eastAsia="宋体" w:cs="宋体"/>
                <w:color w:val="auto"/>
                <w:sz w:val="24"/>
                <w:szCs w:val="24"/>
                <w:highlight w:val="none"/>
                <w:lang w:val="en-US" w:eastAsia="zh-CN"/>
              </w:rPr>
            </w:pPr>
          </w:p>
        </w:tc>
      </w:tr>
      <w:tr w14:paraId="6441DB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trPr>
        <w:tc>
          <w:tcPr>
            <w:tcW w:w="3023" w:type="dxa"/>
            <w:vAlign w:val="center"/>
          </w:tcPr>
          <w:p w14:paraId="51D60C47">
            <w:pPr>
              <w:tabs>
                <w:tab w:val="left" w:pos="540"/>
              </w:tabs>
              <w:spacing w:beforeLines="100" w:after="0" w:line="360" w:lineRule="auto"/>
              <w:jc w:val="center"/>
              <w:rPr>
                <w:rFonts w:hint="eastAsia" w:cs="宋体" w:asciiTheme="minorEastAsia" w:hAnsiTheme="minorEastAsia" w:eastAsiaTheme="minorEastAsia"/>
                <w:color w:val="auto"/>
                <w:sz w:val="24"/>
                <w:szCs w:val="24"/>
                <w:highlight w:val="none"/>
              </w:rPr>
            </w:pPr>
          </w:p>
        </w:tc>
        <w:tc>
          <w:tcPr>
            <w:tcW w:w="1699" w:type="dxa"/>
            <w:vAlign w:val="center"/>
          </w:tcPr>
          <w:p w14:paraId="340D47FA">
            <w:pPr>
              <w:spacing w:after="0" w:line="360" w:lineRule="auto"/>
              <w:jc w:val="center"/>
              <w:rPr>
                <w:rFonts w:hint="eastAsia" w:ascii="宋体" w:hAnsi="宋体" w:eastAsia="宋体" w:cs="黑体"/>
                <w:color w:val="auto"/>
                <w:sz w:val="24"/>
                <w:szCs w:val="24"/>
                <w:highlight w:val="none"/>
                <w:lang w:val="en-US" w:eastAsia="zh-CN"/>
              </w:rPr>
            </w:pPr>
          </w:p>
        </w:tc>
        <w:tc>
          <w:tcPr>
            <w:tcW w:w="1633" w:type="dxa"/>
            <w:vAlign w:val="center"/>
          </w:tcPr>
          <w:p w14:paraId="1149FC96">
            <w:pPr>
              <w:spacing w:beforeLines="100" w:after="0" w:line="360" w:lineRule="auto"/>
              <w:jc w:val="center"/>
              <w:rPr>
                <w:rFonts w:hint="eastAsia" w:ascii="宋体" w:hAnsi="宋体" w:eastAsia="宋体" w:cs="黑体"/>
                <w:color w:val="auto"/>
                <w:sz w:val="24"/>
                <w:szCs w:val="24"/>
                <w:highlight w:val="none"/>
                <w:lang w:val="en-US" w:eastAsia="zh-CN"/>
              </w:rPr>
            </w:pPr>
          </w:p>
        </w:tc>
        <w:tc>
          <w:tcPr>
            <w:tcW w:w="1234" w:type="dxa"/>
            <w:tcBorders>
              <w:right w:val="single" w:color="auto" w:sz="4" w:space="0"/>
            </w:tcBorders>
            <w:vAlign w:val="center"/>
          </w:tcPr>
          <w:p w14:paraId="6D246DDB">
            <w:pPr>
              <w:spacing w:after="0" w:line="360" w:lineRule="auto"/>
              <w:jc w:val="center"/>
              <w:rPr>
                <w:rFonts w:hint="eastAsia" w:ascii="宋体" w:hAnsi="宋体" w:eastAsia="宋体" w:cs="Arial"/>
                <w:color w:val="auto"/>
                <w:sz w:val="24"/>
                <w:szCs w:val="24"/>
                <w:highlight w:val="none"/>
                <w:lang w:val="en-US" w:eastAsia="zh-CN"/>
              </w:rPr>
            </w:pPr>
          </w:p>
        </w:tc>
        <w:tc>
          <w:tcPr>
            <w:tcW w:w="1014" w:type="dxa"/>
            <w:tcBorders>
              <w:right w:val="single" w:color="auto" w:sz="4" w:space="0"/>
            </w:tcBorders>
            <w:vAlign w:val="center"/>
          </w:tcPr>
          <w:p w14:paraId="3102BE2C">
            <w:pPr>
              <w:tabs>
                <w:tab w:val="left" w:pos="8364"/>
              </w:tabs>
              <w:spacing w:after="0" w:line="360" w:lineRule="auto"/>
              <w:jc w:val="center"/>
              <w:rPr>
                <w:rFonts w:hint="eastAsia" w:ascii="宋体" w:hAnsi="宋体" w:eastAsia="宋体" w:cs="宋体"/>
                <w:color w:val="auto"/>
                <w:sz w:val="24"/>
                <w:szCs w:val="24"/>
                <w:highlight w:val="none"/>
                <w:lang w:val="en-US" w:eastAsia="zh-CN"/>
              </w:rPr>
            </w:pPr>
          </w:p>
        </w:tc>
        <w:tc>
          <w:tcPr>
            <w:tcW w:w="1335" w:type="dxa"/>
            <w:tcBorders>
              <w:left w:val="single" w:color="auto" w:sz="4" w:space="0"/>
              <w:right w:val="single" w:color="auto" w:sz="4" w:space="0"/>
            </w:tcBorders>
            <w:vAlign w:val="center"/>
          </w:tcPr>
          <w:p w14:paraId="39327076">
            <w:pPr>
              <w:tabs>
                <w:tab w:val="left" w:pos="8364"/>
              </w:tabs>
              <w:spacing w:after="0" w:line="360" w:lineRule="auto"/>
              <w:ind w:right="-58"/>
              <w:jc w:val="center"/>
              <w:rPr>
                <w:rFonts w:hint="eastAsia" w:ascii="宋体" w:hAnsi="宋体" w:eastAsia="宋体" w:cs="宋体"/>
                <w:color w:val="auto"/>
                <w:sz w:val="24"/>
                <w:szCs w:val="24"/>
                <w:highlight w:val="none"/>
                <w:lang w:val="en-US" w:eastAsia="zh-CN"/>
              </w:rPr>
            </w:pPr>
          </w:p>
        </w:tc>
      </w:tr>
      <w:tr w14:paraId="7B0411B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29" w:hRule="atLeast"/>
        </w:trPr>
        <w:tc>
          <w:tcPr>
            <w:tcW w:w="9938" w:type="dxa"/>
            <w:gridSpan w:val="6"/>
            <w:tcBorders>
              <w:top w:val="single" w:color="auto" w:sz="4" w:space="0"/>
              <w:bottom w:val="single" w:color="auto" w:sz="4" w:space="0"/>
              <w:right w:val="single" w:color="auto" w:sz="4" w:space="0"/>
            </w:tcBorders>
            <w:vAlign w:val="center"/>
          </w:tcPr>
          <w:p w14:paraId="42DD2EE5">
            <w:pPr>
              <w:spacing w:after="0" w:line="360" w:lineRule="auto"/>
              <w:rPr>
                <w:rFonts w:ascii="宋体" w:hAnsi="宋体" w:eastAsia="宋体" w:cs="黑体"/>
                <w:color w:val="auto"/>
                <w:sz w:val="24"/>
                <w:szCs w:val="24"/>
                <w:highlight w:val="none"/>
              </w:rPr>
            </w:pPr>
            <w:r>
              <w:rPr>
                <w:rFonts w:hint="eastAsia" w:ascii="宋体" w:hAnsi="宋体" w:eastAsia="宋体" w:cs="黑体"/>
                <w:color w:val="auto"/>
                <w:sz w:val="24"/>
                <w:szCs w:val="24"/>
                <w:highlight w:val="none"/>
              </w:rPr>
              <w:t>总价（人民币大写）：</w:t>
            </w:r>
            <w:r>
              <w:rPr>
                <w:rFonts w:hint="eastAsia" w:ascii="宋体" w:hAnsi="宋体" w:eastAsia="宋体" w:cs="黑体"/>
                <w:color w:val="auto"/>
                <w:sz w:val="24"/>
                <w:szCs w:val="24"/>
                <w:highlight w:val="none"/>
                <w:lang w:val="en-US" w:eastAsia="zh-CN"/>
              </w:rPr>
              <w:t>元</w:t>
            </w:r>
            <w:r>
              <w:rPr>
                <w:rFonts w:hint="eastAsia" w:ascii="宋体" w:hAnsi="宋体" w:eastAsia="宋体" w:cs="黑体"/>
                <w:bCs/>
                <w:color w:val="auto"/>
                <w:sz w:val="24"/>
                <w:szCs w:val="24"/>
                <w:highlight w:val="none"/>
              </w:rPr>
              <w:t>整        ¥：元</w:t>
            </w:r>
          </w:p>
        </w:tc>
      </w:tr>
      <w:tr w14:paraId="340836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29" w:hRule="atLeast"/>
        </w:trPr>
        <w:tc>
          <w:tcPr>
            <w:tcW w:w="9938" w:type="dxa"/>
            <w:gridSpan w:val="6"/>
            <w:tcBorders>
              <w:top w:val="single" w:color="auto" w:sz="4" w:space="0"/>
              <w:bottom w:val="single" w:color="auto" w:sz="4" w:space="0"/>
              <w:right w:val="single" w:color="auto" w:sz="4" w:space="0"/>
            </w:tcBorders>
            <w:vAlign w:val="center"/>
          </w:tcPr>
          <w:p w14:paraId="0F390294">
            <w:pPr>
              <w:spacing w:after="0" w:line="360" w:lineRule="auto"/>
              <w:rPr>
                <w:rFonts w:hint="default" w:ascii="宋体" w:hAnsi="宋体" w:eastAsia="宋体" w:cs="黑体"/>
                <w:color w:val="auto"/>
                <w:sz w:val="24"/>
                <w:szCs w:val="24"/>
                <w:highlight w:val="none"/>
                <w:lang w:val="en-US" w:eastAsia="zh-CN"/>
              </w:rPr>
            </w:pPr>
            <w:r>
              <w:rPr>
                <w:rFonts w:hint="eastAsia" w:ascii="宋体" w:hAnsi="宋体" w:eastAsia="宋体" w:cs="黑体"/>
                <w:color w:val="auto"/>
                <w:sz w:val="24"/>
                <w:szCs w:val="24"/>
                <w:highlight w:val="none"/>
                <w:lang w:eastAsia="zh-CN"/>
              </w:rPr>
              <w:t>合同</w:t>
            </w:r>
            <w:r>
              <w:rPr>
                <w:rFonts w:hint="eastAsia" w:ascii="宋体" w:hAnsi="宋体" w:eastAsia="宋体" w:cs="黑体"/>
                <w:color w:val="auto"/>
                <w:sz w:val="24"/>
                <w:szCs w:val="24"/>
                <w:highlight w:val="none"/>
                <w:lang w:val="en-US" w:eastAsia="zh-CN"/>
              </w:rPr>
              <w:t>服务期</w:t>
            </w:r>
            <w:r>
              <w:rPr>
                <w:rFonts w:hint="eastAsia" w:ascii="宋体" w:hAnsi="宋体" w:eastAsia="宋体" w:cs="黑体"/>
                <w:color w:val="auto"/>
                <w:sz w:val="24"/>
                <w:szCs w:val="24"/>
                <w:highlight w:val="none"/>
                <w:lang w:eastAsia="zh-CN"/>
              </w:rPr>
              <w:t>为</w:t>
            </w:r>
            <w:r>
              <w:rPr>
                <w:rFonts w:hint="eastAsia" w:ascii="宋体" w:hAnsi="宋体" w:eastAsia="宋体" w:cs="黑体"/>
                <w:color w:val="auto"/>
                <w:sz w:val="24"/>
                <w:szCs w:val="24"/>
                <w:highlight w:val="none"/>
                <w:lang w:val="en-US" w:eastAsia="zh-CN"/>
              </w:rPr>
              <w:t>2</w:t>
            </w:r>
            <w:r>
              <w:rPr>
                <w:rFonts w:hint="eastAsia" w:ascii="宋体" w:hAnsi="宋体" w:eastAsia="宋体" w:cs="黑体"/>
                <w:color w:val="auto"/>
                <w:sz w:val="24"/>
                <w:szCs w:val="24"/>
                <w:highlight w:val="none"/>
                <w:lang w:eastAsia="zh-CN"/>
              </w:rPr>
              <w:t>年，从</w:t>
            </w:r>
            <w:r>
              <w:rPr>
                <w:rFonts w:hint="eastAsia" w:ascii="宋体" w:hAnsi="宋体" w:eastAsia="宋体" w:cs="黑体"/>
                <w:color w:val="auto"/>
                <w:sz w:val="24"/>
                <w:szCs w:val="24"/>
                <w:highlight w:val="none"/>
                <w:lang w:val="en-US" w:eastAsia="zh-CN"/>
              </w:rPr>
              <w:t xml:space="preserve"> 2025</w:t>
            </w:r>
            <w:r>
              <w:rPr>
                <w:rFonts w:hint="eastAsia" w:ascii="宋体" w:hAnsi="宋体" w:eastAsia="宋体" w:cs="黑体"/>
                <w:color w:val="auto"/>
                <w:sz w:val="24"/>
                <w:szCs w:val="24"/>
                <w:highlight w:val="none"/>
                <w:lang w:eastAsia="zh-CN"/>
              </w:rPr>
              <w:t>年</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月</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 xml:space="preserve">日到 </w:t>
            </w:r>
            <w:r>
              <w:rPr>
                <w:rFonts w:hint="eastAsia" w:ascii="宋体" w:hAnsi="宋体" w:eastAsia="宋体" w:cs="黑体"/>
                <w:color w:val="auto"/>
                <w:sz w:val="24"/>
                <w:szCs w:val="24"/>
                <w:highlight w:val="none"/>
                <w:lang w:val="en-US" w:eastAsia="zh-CN"/>
              </w:rPr>
              <w:t>2027</w:t>
            </w:r>
            <w:r>
              <w:rPr>
                <w:rFonts w:hint="eastAsia" w:ascii="宋体" w:hAnsi="宋体" w:eastAsia="宋体" w:cs="黑体"/>
                <w:color w:val="auto"/>
                <w:sz w:val="24"/>
                <w:szCs w:val="24"/>
                <w:highlight w:val="none"/>
                <w:lang w:eastAsia="zh-CN"/>
              </w:rPr>
              <w:t>年</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月</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日止。</w:t>
            </w:r>
          </w:p>
        </w:tc>
      </w:tr>
    </w:tbl>
    <w:p w14:paraId="01817200">
      <w:pPr>
        <w:spacing w:after="0"/>
        <w:rPr>
          <w:rFonts w:asciiTheme="minorEastAsia" w:hAnsiTheme="minorEastAsia" w:eastAsiaTheme="minorEastAsia"/>
          <w:color w:val="auto"/>
          <w:sz w:val="24"/>
          <w:highlight w:val="none"/>
        </w:rPr>
      </w:pPr>
    </w:p>
    <w:p w14:paraId="3FA8433E">
      <w:pPr>
        <w:spacing w:beforeLines="100"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第二条</w:t>
      </w:r>
      <w:r>
        <w:rPr>
          <w:rFonts w:hint="eastAsia" w:asciiTheme="minorEastAsia" w:hAnsiTheme="minorEastAsia" w:eastAsiaTheme="minorEastAsia"/>
          <w:color w:val="auto"/>
          <w:sz w:val="24"/>
          <w:szCs w:val="24"/>
          <w:highlight w:val="none"/>
        </w:rPr>
        <w:t>合同总价</w:t>
      </w:r>
    </w:p>
    <w:p w14:paraId="20B973E1">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合同总价为人民币</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大写</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w:t>
      </w:r>
      <w:r>
        <w:rPr>
          <w:rFonts w:hint="eastAsia" w:ascii="宋体" w:hAnsi="宋体" w:eastAsia="宋体" w:cs="黑体"/>
          <w:color w:val="auto"/>
          <w:sz w:val="24"/>
          <w:szCs w:val="24"/>
          <w:highlight w:val="none"/>
          <w:lang w:val="en-US" w:eastAsia="zh-CN"/>
        </w:rPr>
        <w:t>元</w:t>
      </w:r>
      <w:r>
        <w:rPr>
          <w:rFonts w:hint="eastAsia" w:ascii="宋体" w:hAnsi="宋体" w:eastAsia="宋体" w:cs="黑体"/>
          <w:bCs/>
          <w:color w:val="auto"/>
          <w:sz w:val="24"/>
          <w:szCs w:val="24"/>
          <w:highlight w:val="none"/>
        </w:rPr>
        <w:t>整</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bCs/>
          <w:color w:val="auto"/>
          <w:sz w:val="24"/>
          <w:szCs w:val="24"/>
          <w:highlight w:val="none"/>
        </w:rPr>
        <w:t>¥</w:t>
      </w:r>
      <w:r>
        <w:rPr>
          <w:rFonts w:hint="eastAsia" w:asciiTheme="minorEastAsia" w:hAnsiTheme="minorEastAsia" w:eastAsiaTheme="minorEastAsia"/>
          <w:color w:val="auto"/>
          <w:sz w:val="24"/>
          <w:szCs w:val="24"/>
          <w:highlight w:val="none"/>
        </w:rPr>
        <w:t>元），该合同总金额是飞利浦IQon</w:t>
      </w:r>
      <w:r>
        <w:rPr>
          <w:rFonts w:hint="eastAsia" w:asciiTheme="minorEastAsia" w:hAnsiTheme="minorEastAsia" w:eastAsiaTheme="minorEastAsia"/>
          <w:color w:val="auto"/>
          <w:sz w:val="24"/>
          <w:szCs w:val="24"/>
          <w:highlight w:val="none"/>
          <w:lang w:val="en-US" w:eastAsia="zh-CN"/>
        </w:rPr>
        <w:t>能</w:t>
      </w:r>
      <w:r>
        <w:rPr>
          <w:rFonts w:hint="eastAsia" w:asciiTheme="minorEastAsia" w:hAnsiTheme="minorEastAsia" w:eastAsiaTheme="minorEastAsia"/>
          <w:color w:val="auto"/>
          <w:sz w:val="24"/>
          <w:szCs w:val="24"/>
          <w:highlight w:val="none"/>
        </w:rPr>
        <w:t>谱CT维保服务期间包括备品备件和人工、维修发生的所有含税费用。本合同执行期间合同总金额不变。</w:t>
      </w:r>
    </w:p>
    <w:p w14:paraId="4A20BF84">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第三条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合同组成</w:t>
      </w:r>
    </w:p>
    <w:p w14:paraId="493DD597">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详细价格、技术说明及其他有关合同产品的特定信息由合同附件说明。所有附件及本项目的招投标文件、会议纪要、协议、澄清等均为本合同不可分割的一部分。</w:t>
      </w:r>
    </w:p>
    <w:p w14:paraId="2FD50FCD">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第四</w:t>
      </w:r>
      <w:r>
        <w:rPr>
          <w:rFonts w:hint="eastAsia" w:cs="微软雅黑" w:asciiTheme="minorEastAsia" w:hAnsiTheme="minorEastAsia" w:eastAsiaTheme="minorEastAsia"/>
          <w:color w:val="auto"/>
          <w:sz w:val="24"/>
          <w:szCs w:val="24"/>
          <w:highlight w:val="none"/>
        </w:rPr>
        <w:t>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资质保证。</w:t>
      </w:r>
    </w:p>
    <w:p w14:paraId="29F76110">
      <w:pPr>
        <w:spacing w:after="0" w:line="360" w:lineRule="auto"/>
        <w:ind w:firstLine="480" w:firstLineChars="200"/>
        <w:jc w:val="both"/>
        <w:rPr>
          <w:rFonts w:hint="eastAsia"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乙方应当确保以下资质证书在甲方使用期内持续合法有效：医疗器械经营企业许可证、企业法人营业执照</w:t>
      </w:r>
      <w:r>
        <w:rPr>
          <w:rFonts w:hint="eastAsia" w:cs="仿宋_GB2312" w:asciiTheme="minorEastAsia" w:hAnsiTheme="minorEastAsia" w:eastAsiaTheme="minorEastAsia"/>
          <w:bCs/>
          <w:color w:val="auto"/>
          <w:sz w:val="24"/>
          <w:szCs w:val="24"/>
          <w:highlight w:val="none"/>
          <w:lang w:eastAsia="zh-CN"/>
        </w:rPr>
        <w:t>、</w:t>
      </w:r>
      <w:r>
        <w:rPr>
          <w:rFonts w:hint="eastAsia" w:cs="仿宋_GB2312" w:asciiTheme="minorEastAsia" w:hAnsiTheme="minorEastAsia" w:eastAsiaTheme="minorEastAsia"/>
          <w:bCs/>
          <w:color w:val="auto"/>
          <w:sz w:val="24"/>
          <w:szCs w:val="24"/>
          <w:highlight w:val="none"/>
          <w:lang w:val="en-US" w:eastAsia="zh-CN"/>
        </w:rPr>
        <w:t>二类备案证</w:t>
      </w:r>
      <w:r>
        <w:rPr>
          <w:rFonts w:hint="eastAsia" w:cs="仿宋_GB2312" w:asciiTheme="minorEastAsia" w:hAnsiTheme="minorEastAsia" w:eastAsiaTheme="minorEastAsia"/>
          <w:bCs/>
          <w:color w:val="auto"/>
          <w:sz w:val="24"/>
          <w:szCs w:val="24"/>
          <w:highlight w:val="none"/>
        </w:rPr>
        <w:t>。</w:t>
      </w:r>
    </w:p>
    <w:p w14:paraId="70653DED">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第五条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付款办法</w:t>
      </w:r>
    </w:p>
    <w:p w14:paraId="162620E0">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lang w:val="en-US" w:eastAsia="zh-CN"/>
        </w:rPr>
        <w:t>甲方收到乙方全额发票后，一次性支付当期维保款项。达到付款条件起30日内，支付当期全额发票合同金额的100%</w:t>
      </w:r>
      <w:r>
        <w:rPr>
          <w:rFonts w:hint="eastAsia" w:asciiTheme="minorEastAsia" w:hAnsiTheme="minorEastAsia" w:eastAsiaTheme="minorEastAsia"/>
          <w:color w:val="auto"/>
          <w:sz w:val="24"/>
          <w:szCs w:val="24"/>
          <w:highlight w:val="none"/>
        </w:rPr>
        <w:t>。以上款项支付时，乙方均应提供合法税务票据，款项转入乙方指定账户。具体如下：</w:t>
      </w:r>
    </w:p>
    <w:p w14:paraId="3CDF50D0">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合同；</w:t>
      </w:r>
    </w:p>
    <w:p w14:paraId="4B691A2D">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乙方开具的正式发票。</w:t>
      </w:r>
    </w:p>
    <w:p w14:paraId="27B3C2CC">
      <w:pPr>
        <w:spacing w:after="0" w:line="360" w:lineRule="auto"/>
        <w:ind w:firstLine="480" w:firstLineChars="200"/>
        <w:jc w:val="both"/>
        <w:rPr>
          <w:rFonts w:ascii="宋体" w:hAnsi="宋体" w:eastAsia="宋体" w:cs="仿宋"/>
          <w:color w:val="auto"/>
          <w:sz w:val="24"/>
          <w:szCs w:val="24"/>
          <w:highlight w:val="none"/>
        </w:rPr>
      </w:pPr>
      <w:r>
        <w:rPr>
          <w:rFonts w:hint="eastAsia" w:ascii="宋体" w:hAnsi="宋体" w:eastAsia="宋体" w:cs="仿宋"/>
          <w:color w:val="auto"/>
          <w:sz w:val="24"/>
          <w:szCs w:val="24"/>
          <w:highlight w:val="none"/>
        </w:rPr>
        <w:t>账户：</w:t>
      </w:r>
    </w:p>
    <w:p w14:paraId="218B6408">
      <w:pPr>
        <w:ind w:firstLine="480" w:firstLineChars="200"/>
        <w:rPr>
          <w:rFonts w:hint="eastAsia" w:ascii="宋体" w:hAnsi="宋体" w:eastAsia="宋体" w:cs="仿宋"/>
          <w:color w:val="auto"/>
          <w:sz w:val="24"/>
          <w:szCs w:val="24"/>
          <w:highlight w:val="none"/>
          <w:lang w:val="en-US" w:eastAsia="zh-CN"/>
        </w:rPr>
      </w:pPr>
      <w:r>
        <w:rPr>
          <w:rFonts w:hint="eastAsia" w:ascii="宋体" w:hAnsi="宋体" w:eastAsia="宋体" w:cs="仿宋"/>
          <w:color w:val="auto"/>
          <w:sz w:val="24"/>
          <w:szCs w:val="24"/>
          <w:highlight w:val="none"/>
        </w:rPr>
        <w:t>帐号：</w:t>
      </w:r>
    </w:p>
    <w:p w14:paraId="10C12247">
      <w:pPr>
        <w:ind w:firstLine="480" w:firstLineChars="200"/>
        <w:rPr>
          <w:rFonts w:hint="eastAsia" w:asciiTheme="minorEastAsia" w:hAnsiTheme="minorEastAsia" w:eastAsiaTheme="minorEastAsia"/>
          <w:color w:val="auto"/>
          <w:sz w:val="24"/>
          <w:highlight w:val="none"/>
        </w:rPr>
      </w:pPr>
      <w:r>
        <w:rPr>
          <w:rFonts w:hint="eastAsia" w:ascii="宋体" w:hAnsi="宋体" w:eastAsia="宋体" w:cs="仿宋"/>
          <w:color w:val="auto"/>
          <w:sz w:val="24"/>
          <w:szCs w:val="24"/>
          <w:highlight w:val="none"/>
        </w:rPr>
        <w:t>开户银行：</w:t>
      </w:r>
    </w:p>
    <w:p w14:paraId="4DF82F18">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第六条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技术服务</w:t>
      </w:r>
    </w:p>
    <w:p w14:paraId="33F5D2B0">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1.服务范围：飞利浦IQon能谱CT设备整机保修服务，包含工作站保修，不包含第三方产品。通过日常巡检、质控保养、配件更换（包含：探测器、高压、球管等）、技术支持服务等内容，保证设备状态符合国家质量监督部门以及卫生监督部门的标准。   </w:t>
      </w:r>
    </w:p>
    <w:p w14:paraId="3CC1E41A">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2.响应时间保证：飞利浦IQon能谱CT维保，接到报修后24小时内派遣原厂认证合格的专业工程师到现场维修设备。</w:t>
      </w:r>
    </w:p>
    <w:p w14:paraId="1AF750F1">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3.提供设备的安全检查、影像质量检查、设备除尘保养、运行状态检查等，每年4次符合原厂质控保养清单的专业保养。   </w:t>
      </w:r>
    </w:p>
    <w:p w14:paraId="148250FD">
      <w:pPr>
        <w:spacing w:after="0" w:line="360" w:lineRule="auto"/>
        <w:ind w:firstLine="480" w:firstLineChars="200"/>
        <w:jc w:val="both"/>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drawing>
          <wp:anchor distT="0" distB="0" distL="114300" distR="114300" simplePos="0" relativeHeight="251659264" behindDoc="0" locked="0" layoutInCell="1" allowOverlap="0">
            <wp:simplePos x="0" y="0"/>
            <wp:positionH relativeFrom="page">
              <wp:posOffset>7540625</wp:posOffset>
            </wp:positionH>
            <wp:positionV relativeFrom="page">
              <wp:posOffset>528320</wp:posOffset>
            </wp:positionV>
            <wp:extent cx="22860" cy="167640"/>
            <wp:effectExtent l="0" t="0" r="0" b="0"/>
            <wp:wrapSquare wrapText="bothSides"/>
            <wp:docPr id="354" name="Picture 354"/>
            <wp:cNvGraphicFramePr/>
            <a:graphic xmlns:a="http://schemas.openxmlformats.org/drawingml/2006/main">
              <a:graphicData uri="http://schemas.openxmlformats.org/drawingml/2006/picture">
                <pic:pic xmlns:pic="http://schemas.openxmlformats.org/drawingml/2006/picture">
                  <pic:nvPicPr>
                    <pic:cNvPr id="354" name="Picture 354"/>
                    <pic:cNvPicPr/>
                  </pic:nvPicPr>
                  <pic:blipFill>
                    <a:blip r:embed="rId5"/>
                    <a:stretch>
                      <a:fillRect/>
                    </a:stretch>
                  </pic:blipFill>
                  <pic:spPr>
                    <a:xfrm>
                      <a:off x="0" y="0"/>
                      <a:ext cx="22859" cy="167640"/>
                    </a:xfrm>
                    <a:prstGeom prst="rect">
                      <a:avLst/>
                    </a:prstGeom>
                  </pic:spPr>
                </pic:pic>
              </a:graphicData>
            </a:graphic>
          </wp:anchor>
        </w:drawing>
      </w:r>
      <w:r>
        <w:rPr>
          <w:rFonts w:hint="eastAsia" w:ascii="宋体" w:hAnsi="宋体" w:eastAsia="宋体"/>
          <w:color w:val="auto"/>
          <w:sz w:val="24"/>
          <w:szCs w:val="24"/>
          <w:highlight w:val="none"/>
          <w:lang w:val="en-US" w:eastAsia="zh-CN"/>
        </w:rPr>
        <mc:AlternateContent>
          <mc:Choice Requires="wpg">
            <w:drawing>
              <wp:anchor distT="0" distB="0" distL="114300" distR="114300" simplePos="0" relativeHeight="251660288" behindDoc="0" locked="0" layoutInCell="1" allowOverlap="1">
                <wp:simplePos x="0" y="0"/>
                <wp:positionH relativeFrom="page">
                  <wp:posOffset>7542530</wp:posOffset>
                </wp:positionH>
                <wp:positionV relativeFrom="page">
                  <wp:posOffset>560705</wp:posOffset>
                </wp:positionV>
                <wp:extent cx="85090" cy="152400"/>
                <wp:effectExtent l="0" t="0" r="0" b="0"/>
                <wp:wrapSquare wrapText="bothSides"/>
                <wp:docPr id="1" name="Group 2268"/>
                <wp:cNvGraphicFramePr/>
                <a:graphic xmlns:a="http://schemas.openxmlformats.org/drawingml/2006/main">
                  <a:graphicData uri="http://schemas.microsoft.com/office/word/2010/wordprocessingGroup">
                    <wpg:wgp>
                      <wpg:cNvGrpSpPr/>
                      <wpg:grpSpPr>
                        <a:xfrm>
                          <a:off x="0" y="0"/>
                          <a:ext cx="85090" cy="152400"/>
                          <a:chOff x="0" y="0"/>
                          <a:chExt cx="85344" cy="152400"/>
                        </a:xfrm>
                        <a:effectLst/>
                      </wpg:grpSpPr>
                      <wps:wsp>
                        <wps:cNvPr id="262" name="Rectangle 262"/>
                        <wps:cNvSpPr/>
                        <wps:spPr>
                          <a:xfrm>
                            <a:off x="9144" y="0"/>
                            <a:ext cx="101346" cy="202692"/>
                          </a:xfrm>
                          <a:prstGeom prst="rect">
                            <a:avLst/>
                          </a:prstGeom>
                          <a:noFill/>
                          <a:ln>
                            <a:noFill/>
                          </a:ln>
                          <a:effectLst/>
                        </wps:spPr>
                        <wps:txbx>
                          <w:txbxContent>
                            <w:p w14:paraId="1B827DDC">
                              <w:pPr>
                                <w:spacing w:after="160"/>
                              </w:pPr>
                              <w:r>
                                <w:t xml:space="preserve"> </w:t>
                              </w:r>
                            </w:p>
                          </w:txbxContent>
                        </wps:txbx>
                        <wps:bodyPr horzOverflow="overflow" vert="horz" lIns="0" tIns="0" rIns="0" bIns="0" rtlCol="0">
                          <a:noAutofit/>
                        </wps:bodyPr>
                      </wps:wsp>
                      <wps:wsp>
                        <wps:cNvPr id="355" name="Rectangle 355"/>
                        <wps:cNvSpPr/>
                        <wps:spPr>
                          <a:xfrm>
                            <a:off x="0" y="13120"/>
                            <a:ext cx="84117" cy="168235"/>
                          </a:xfrm>
                          <a:prstGeom prst="rect">
                            <a:avLst/>
                          </a:prstGeom>
                          <a:noFill/>
                          <a:ln>
                            <a:noFill/>
                          </a:ln>
                          <a:effectLst/>
                        </wps:spPr>
                        <wps:txbx>
                          <w:txbxContent>
                            <w:p w14:paraId="34326E04">
                              <w:pPr>
                                <w:spacing w:after="160"/>
                              </w:pPr>
                              <w:r>
                                <w:rPr>
                                  <w:sz w:val="20"/>
                                </w:rPr>
                                <w:t xml:space="preserve"> </w:t>
                              </w:r>
                            </w:p>
                          </w:txbxContent>
                        </wps:txbx>
                        <wps:bodyPr horzOverflow="overflow" vert="horz" lIns="0" tIns="0" rIns="0" bIns="0" rtlCol="0">
                          <a:noAutofit/>
                        </wps:bodyPr>
                      </wps:wsp>
                    </wpg:wgp>
                  </a:graphicData>
                </a:graphic>
              </wp:anchor>
            </w:drawing>
          </mc:Choice>
          <mc:Fallback>
            <w:pict>
              <v:group id="Group 2268" o:spid="_x0000_s1026" o:spt="203" style="position:absolute;left:0pt;margin-left:593.9pt;margin-top:44.15pt;height:12pt;width:6.7pt;mso-position-horizontal-relative:page;mso-position-vertical-relative:page;mso-wrap-distance-bottom:0pt;mso-wrap-distance-left:9pt;mso-wrap-distance-right:9pt;mso-wrap-distance-top:0pt;z-index:251660288;mso-width-relative:page;mso-height-relative:page;" coordsize="85344,152400" o:gfxdata="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EwEJvDZAAAA&#10;DAEAAA8AAAAAAAAAAQAgAAAAIgAAAGRycy9kb3ducmV2LnhtbFBLAQIUABQAAAAIAIdO4kBC/9ks&#10;VQIAAM8GAAAOAAAAAAAAAAEAIAAAACgBAABkcnMvZTJvRG9jLnhtbFBLBQYAAAAABgAGAFkBAADv&#10;BQAAAAA=&#10;">
                <o:lock v:ext="edit" aspectratio="f"/>
                <v:rect id="Rectangle 262" o:spid="_x0000_s1026" o:spt="1" style="position:absolute;left:9144;top:0;height:202692;width:101346;" filled="f" stroked="f" coordsize="21600,21600" o:gfxdata="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BVP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1B827DDC">
                        <w:pPr>
                          <w:spacing w:after="160"/>
                        </w:pPr>
                        <w:r>
                          <w:t xml:space="preserve"> </w:t>
                        </w:r>
                      </w:p>
                    </w:txbxContent>
                  </v:textbox>
                </v:rect>
                <v:rect id="Rectangle 355" o:spid="_x0000_s1026" o:spt="1" style="position:absolute;left:0;top:13120;height:168235;width:84117;" filled="f" stroked="f" coordsize="21600,21600" o:gfxdata="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dlCa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34326E04">
                        <w:pPr>
                          <w:spacing w:after="160"/>
                        </w:pPr>
                        <w:r>
                          <w:rPr>
                            <w:sz w:val="20"/>
                          </w:rPr>
                          <w:t xml:space="preserve"> </w:t>
                        </w:r>
                      </w:p>
                    </w:txbxContent>
                  </v:textbox>
                </v:rect>
                <w10:wrap type="square"/>
              </v:group>
            </w:pict>
          </mc:Fallback>
        </mc:AlternateContent>
      </w:r>
      <w:r>
        <w:rPr>
          <w:rFonts w:hint="eastAsia" w:ascii="宋体" w:hAnsi="宋体" w:eastAsia="宋体"/>
          <w:color w:val="auto"/>
          <w:sz w:val="24"/>
          <w:szCs w:val="24"/>
          <w:highlight w:val="none"/>
          <w:lang w:val="en-US" w:eastAsia="zh-CN"/>
        </w:rPr>
        <w:t>4.更换配件的备品备件属于关境内库房的，不超过2个工作日到达维修现场；属于关境外库房的，不超过5个工作日到达维修现场。维修后所替换下的旧备件归厂家所有，厂家安排收回。</w:t>
      </w:r>
      <w:r>
        <w:rPr>
          <w:rFonts w:ascii="宋体" w:hAnsi="宋体" w:eastAsia="宋体"/>
          <w:color w:val="auto"/>
          <w:sz w:val="24"/>
          <w:szCs w:val="24"/>
          <w:highlight w:val="none"/>
        </w:rPr>
        <w:t xml:space="preserve">   </w:t>
      </w:r>
    </w:p>
    <w:p w14:paraId="2379EB99">
      <w:pPr>
        <w:spacing w:after="0" w:line="360" w:lineRule="auto"/>
        <w:ind w:firstLine="480" w:firstLineChars="200"/>
        <w:jc w:val="both"/>
        <w:rPr>
          <w:rFonts w:ascii="宋体" w:hAnsi="宋体" w:eastAsia="宋体"/>
          <w:color w:val="auto"/>
          <w:sz w:val="24"/>
          <w:szCs w:val="24"/>
          <w:highlight w:val="none"/>
        </w:rPr>
      </w:pPr>
      <w:r>
        <w:rPr>
          <w:rFonts w:ascii="宋体" w:hAnsi="宋体" w:eastAsia="宋体"/>
          <w:color w:val="auto"/>
          <w:sz w:val="24"/>
          <w:szCs w:val="24"/>
          <w:highlight w:val="none"/>
        </w:rPr>
        <w:t>5.在本项目服务期内，供应商应优先保证本项目所涉及保修设备的备品备件更换。</w:t>
      </w:r>
    </w:p>
    <w:p w14:paraId="28B4AC1D">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6.全年365天×24小时电话技术服务支持，专业工程师通过电话或其他在线远程支持服务响应时间不超过2小时。</w:t>
      </w:r>
    </w:p>
    <w:p w14:paraId="69F155BC">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7.提供远程全天24小时不间断监测设备运行状态服务，可提前预警。</w:t>
      </w:r>
    </w:p>
    <w:p w14:paraId="690A84CF">
      <w:pPr>
        <w:spacing w:after="0" w:line="360" w:lineRule="auto"/>
        <w:ind w:firstLine="480" w:firstLineChars="200"/>
        <w:jc w:val="both"/>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8.服务期内设备开机率确保达到95％，按全年250个工作日计算。即全年正常开机达到238个工作日，停机时间不超过12个工作日，停机每超出1个工作日，维修服务合同期限自动延长2个工作日。</w:t>
      </w:r>
      <w:r>
        <w:rPr>
          <w:rFonts w:ascii="宋体" w:hAnsi="宋体" w:eastAsia="宋体"/>
          <w:color w:val="auto"/>
          <w:sz w:val="24"/>
          <w:szCs w:val="24"/>
          <w:highlight w:val="none"/>
        </w:rPr>
        <w:t xml:space="preserve">  </w:t>
      </w:r>
    </w:p>
    <w:p w14:paraId="7D746721">
      <w:pPr>
        <w:pStyle w:val="3"/>
        <w:ind w:left="0" w:leftChars="0" w:firstLine="0" w:firstLineChars="0"/>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eastAsia="zh-CN"/>
        </w:rPr>
        <w:t>第七条</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rPr>
        <w:t>知识产权归属和处理方式：</w:t>
      </w:r>
    </w:p>
    <w:p w14:paraId="5EAD6B52">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一、供应商应保证在本项目中使用的任何技术、产品和服务（包括部分使用），不会产生因第三方提出侵犯其专利权、商 标权或其它知识产权而引起的法律和经济纠纷，如存在前述情形，由供应商承担所有相关责任。采购人享有本项目实施过程中 产生的知识成果及知识产权。 </w:t>
      </w:r>
    </w:p>
    <w:p w14:paraId="290ACD3D">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 xml:space="preserve">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 </w:t>
      </w:r>
    </w:p>
    <w:p w14:paraId="4A91EB06">
      <w:pPr>
        <w:pStyle w:val="3"/>
        <w:keepNext w:val="0"/>
        <w:keepLines w:val="0"/>
        <w:pageBreakBefore w:val="0"/>
        <w:widowControl/>
        <w:kinsoku/>
        <w:wordWrap/>
        <w:overflowPunct/>
        <w:topLinePunct w:val="0"/>
        <w:autoSpaceDE/>
        <w:autoSpaceDN/>
        <w:bidi w:val="0"/>
        <w:adjustRightInd w:val="0"/>
        <w:snapToGrid w:val="0"/>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 xml:space="preserve">三、如采用供应商所不拥有的知识产权，则在报价中必须包括合法使用该知识产权的相关费用。 </w:t>
      </w:r>
    </w:p>
    <w:p w14:paraId="1C862FA3">
      <w:pPr>
        <w:pStyle w:val="3"/>
        <w:keepNext w:val="0"/>
        <w:keepLines w:val="0"/>
        <w:pageBreakBefore w:val="0"/>
        <w:widowControl/>
        <w:kinsoku/>
        <w:wordWrap/>
        <w:overflowPunct/>
        <w:topLinePunct w:val="0"/>
        <w:autoSpaceDE/>
        <w:autoSpaceDN/>
        <w:bidi w:val="0"/>
        <w:adjustRightInd w:val="0"/>
        <w:snapToGrid w:val="0"/>
        <w:ind w:left="0" w:leftChars="0" w:firstLine="480" w:firstLineChars="200"/>
        <w:textAlignment w:val="auto"/>
        <w:rPr>
          <w:color w:val="auto"/>
          <w:highlight w:val="none"/>
        </w:rPr>
      </w:pPr>
      <w:r>
        <w:rPr>
          <w:rFonts w:hint="eastAsia" w:ascii="宋体" w:hAnsi="宋体" w:eastAsia="宋体" w:cs="宋体"/>
          <w:i w:val="0"/>
          <w:iCs w:val="0"/>
          <w:caps w:val="0"/>
          <w:color w:val="auto"/>
          <w:spacing w:val="0"/>
          <w:sz w:val="24"/>
          <w:szCs w:val="24"/>
          <w:highlight w:val="none"/>
          <w:shd w:val="clear" w:fill="FFFFFF"/>
        </w:rPr>
        <w:t>四、构成本</w:t>
      </w:r>
      <w:r>
        <w:rPr>
          <w:rFonts w:hint="eastAsia" w:ascii="宋体" w:hAnsi="宋体" w:eastAsia="宋体" w:cs="宋体"/>
          <w:i w:val="0"/>
          <w:iCs w:val="0"/>
          <w:caps w:val="0"/>
          <w:color w:val="auto"/>
          <w:spacing w:val="0"/>
          <w:sz w:val="24"/>
          <w:szCs w:val="24"/>
          <w:highlight w:val="none"/>
          <w:shd w:val="clear" w:fill="FFFFFF"/>
          <w:lang w:val="en-US" w:eastAsia="zh-CN"/>
        </w:rPr>
        <w:t>单一来源采购</w:t>
      </w:r>
      <w:r>
        <w:rPr>
          <w:rFonts w:hint="eastAsia" w:ascii="宋体" w:hAnsi="宋体" w:eastAsia="宋体" w:cs="宋体"/>
          <w:i w:val="0"/>
          <w:iCs w:val="0"/>
          <w:caps w:val="0"/>
          <w:color w:val="auto"/>
          <w:spacing w:val="0"/>
          <w:sz w:val="24"/>
          <w:szCs w:val="24"/>
          <w:highlight w:val="none"/>
          <w:shd w:val="clear" w:fill="FFFFFF"/>
        </w:rPr>
        <w:t>文件的各组成部分，未经采购人书面同意，供应商不得擅自复印或用于非本项目所需的其他目的。</w:t>
      </w:r>
    </w:p>
    <w:p w14:paraId="41BFF39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both"/>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eastAsia="zh-CN"/>
        </w:rPr>
        <w:t>第七条</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rPr>
        <w:t>验收交付标准和方法：</w:t>
      </w:r>
    </w:p>
    <w:p w14:paraId="2CEBD72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firstLine="480" w:firstLineChars="200"/>
        <w:jc w:val="both"/>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lang w:val="en-US" w:eastAsia="zh-CN"/>
        </w:rPr>
        <w:t>1、</w:t>
      </w:r>
      <w:r>
        <w:rPr>
          <w:rFonts w:hint="eastAsia" w:ascii="宋体" w:hAnsi="宋体" w:eastAsia="宋体" w:cs="宋体"/>
          <w:i w:val="0"/>
          <w:iCs w:val="0"/>
          <w:caps w:val="0"/>
          <w:color w:val="auto"/>
          <w:spacing w:val="0"/>
          <w:sz w:val="24"/>
          <w:szCs w:val="24"/>
          <w:highlight w:val="none"/>
          <w:shd w:val="clear" w:fill="FFFFFF"/>
        </w:rPr>
        <w:t>供应商提出验收申请之日起</w:t>
      </w:r>
      <w:r>
        <w:rPr>
          <w:rFonts w:hint="eastAsia" w:ascii="宋体" w:hAnsi="宋体" w:eastAsia="宋体" w:cs="宋体"/>
          <w:i w:val="0"/>
          <w:iCs w:val="0"/>
          <w:caps w:val="0"/>
          <w:color w:val="auto"/>
          <w:spacing w:val="0"/>
          <w:sz w:val="24"/>
          <w:szCs w:val="24"/>
          <w:highlight w:val="none"/>
          <w:shd w:val="clear" w:fill="FFFFFF"/>
          <w:lang w:val="en-US" w:eastAsia="zh-CN"/>
        </w:rPr>
        <w:t>30</w:t>
      </w:r>
      <w:r>
        <w:rPr>
          <w:rFonts w:hint="eastAsia" w:ascii="宋体" w:hAnsi="宋体" w:eastAsia="宋体" w:cs="宋体"/>
          <w:i w:val="0"/>
          <w:iCs w:val="0"/>
          <w:caps w:val="0"/>
          <w:color w:val="auto"/>
          <w:spacing w:val="0"/>
          <w:sz w:val="24"/>
          <w:szCs w:val="24"/>
          <w:highlight w:val="none"/>
          <w:shd w:val="clear" w:fill="FFFFFF"/>
        </w:rPr>
        <w:t>日内组织验收</w:t>
      </w:r>
      <w:r>
        <w:rPr>
          <w:rFonts w:hint="eastAsia" w:ascii="宋体" w:hAnsi="宋体" w:eastAsia="宋体" w:cs="宋体"/>
          <w:i w:val="0"/>
          <w:iCs w:val="0"/>
          <w:caps w:val="0"/>
          <w:color w:val="auto"/>
          <w:spacing w:val="0"/>
          <w:sz w:val="24"/>
          <w:szCs w:val="24"/>
          <w:highlight w:val="none"/>
          <w:shd w:val="clear" w:fill="FFFFFF"/>
          <w:lang w:eastAsia="zh-CN"/>
        </w:rPr>
        <w:t>。</w:t>
      </w:r>
    </w:p>
    <w:p w14:paraId="3139C5F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firstLine="480" w:firstLineChars="200"/>
        <w:jc w:val="both"/>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shd w:val="clear" w:fill="FFFFFF"/>
          <w:lang w:eastAsia="zh-CN"/>
        </w:rPr>
        <w:t>甲方</w:t>
      </w:r>
      <w:r>
        <w:rPr>
          <w:rFonts w:hint="eastAsia" w:ascii="宋体" w:hAnsi="宋体" w:eastAsia="宋体" w:cs="宋体"/>
          <w:i w:val="0"/>
          <w:iCs w:val="0"/>
          <w:caps w:val="0"/>
          <w:color w:val="auto"/>
          <w:spacing w:val="0"/>
          <w:sz w:val="24"/>
          <w:szCs w:val="24"/>
          <w:highlight w:val="none"/>
          <w:shd w:val="clear" w:fill="FFFFFF"/>
        </w:rPr>
        <w:t>对日常的服务质量进行监督考核。</w:t>
      </w:r>
    </w:p>
    <w:p w14:paraId="315B7EA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firstLine="480" w:firstLineChars="200"/>
        <w:jc w:val="both"/>
        <w:rPr>
          <w:color w:val="auto"/>
          <w:highlight w:val="none"/>
        </w:rPr>
      </w:pPr>
      <w:r>
        <w:rPr>
          <w:rFonts w:hint="eastAsia" w:ascii="宋体" w:hAnsi="宋体"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rPr>
        <w:t>期末由维修方提供全年保修次数及备件更换情况的整体报告书，交由甲方统一对照保管。</w:t>
      </w:r>
    </w:p>
    <w:p w14:paraId="31212138">
      <w:pPr>
        <w:spacing w:after="0" w:line="360" w:lineRule="auto"/>
        <w:rPr>
          <w:rFonts w:hint="eastAsia" w:ascii="宋体" w:hAnsi="宋体" w:eastAsia="宋体" w:cs="宋体"/>
          <w:i w:val="0"/>
          <w:iCs w:val="0"/>
          <w:caps w:val="0"/>
          <w:color w:val="auto"/>
          <w:spacing w:val="0"/>
          <w:sz w:val="24"/>
          <w:szCs w:val="24"/>
          <w:highlight w:val="none"/>
          <w:shd w:val="clear" w:fill="FFFFFF"/>
        </w:rPr>
      </w:pPr>
      <w:r>
        <w:rPr>
          <w:rFonts w:hint="eastAsia" w:asciiTheme="minorEastAsia" w:hAnsiTheme="minorEastAsia" w:eastAsiaTheme="minorEastAsia"/>
          <w:color w:val="auto"/>
          <w:sz w:val="24"/>
          <w:szCs w:val="24"/>
          <w:highlight w:val="none"/>
        </w:rPr>
        <w:t>第</w:t>
      </w:r>
      <w:r>
        <w:rPr>
          <w:rFonts w:hint="eastAsia" w:asciiTheme="minorEastAsia" w:hAnsiTheme="minorEastAsia" w:eastAsiaTheme="minorEastAsia"/>
          <w:color w:val="auto"/>
          <w:sz w:val="24"/>
          <w:szCs w:val="24"/>
          <w:highlight w:val="none"/>
          <w:lang w:eastAsia="zh-CN"/>
        </w:rPr>
        <w:t>八</w:t>
      </w:r>
      <w:r>
        <w:rPr>
          <w:rFonts w:hint="eastAsia" w:asciiTheme="minorEastAsia" w:hAnsiTheme="minorEastAsia" w:eastAsiaTheme="minorEastAsia"/>
          <w:color w:val="auto"/>
          <w:sz w:val="24"/>
          <w:szCs w:val="24"/>
          <w:highlight w:val="none"/>
        </w:rPr>
        <w:t>条</w:t>
      </w:r>
      <w:r>
        <w:rPr>
          <w:rFonts w:asciiTheme="minorEastAsia" w:hAnsiTheme="minorEastAsia" w:eastAsiaTheme="minorEastAsia"/>
          <w:color w:val="auto"/>
          <w:sz w:val="24"/>
          <w:szCs w:val="24"/>
          <w:highlight w:val="none"/>
        </w:rPr>
        <w:t xml:space="preserve"> </w:t>
      </w:r>
      <w:r>
        <w:rPr>
          <w:rFonts w:hint="eastAsia" w:ascii="宋体" w:hAnsi="宋体" w:eastAsia="宋体" w:cs="宋体"/>
          <w:i w:val="0"/>
          <w:iCs w:val="0"/>
          <w:caps w:val="0"/>
          <w:color w:val="auto"/>
          <w:spacing w:val="0"/>
          <w:sz w:val="24"/>
          <w:szCs w:val="24"/>
          <w:highlight w:val="none"/>
          <w:shd w:val="clear" w:fill="FFFFFF"/>
        </w:rPr>
        <w:t>成本补偿和风险分担约定：</w:t>
      </w:r>
    </w:p>
    <w:p w14:paraId="716C8364">
      <w:pPr>
        <w:spacing w:after="0" w:line="360" w:lineRule="auto"/>
        <w:ind w:firstLine="480" w:firstLineChars="200"/>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1、本合同所称不可抗力事件是指双方在订立合同时不能预见、对其发生和后果不能避免并不能克服的客观事件，如：战争、火灾、地震等。</w:t>
      </w:r>
    </w:p>
    <w:p w14:paraId="609121A7">
      <w:pPr>
        <w:spacing w:after="0" w:line="360" w:lineRule="auto"/>
        <w:ind w:firstLine="480" w:firstLineChars="200"/>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 xml:space="preserve">2、遭受不可抗力一方须在事故发生后立即书面告知另一方并在事故发生后 15 天内 将事故发生地相关机构出具的事故证明书邮寄另一方为证。如不可抗力事件持续（60） 天以上， 双方就继续履行合同还是终止履行合同另行协商。不可抗力发生后，各方应尽最大努力减少损失。 </w:t>
      </w:r>
    </w:p>
    <w:p w14:paraId="78DFAD56">
      <w:pPr>
        <w:spacing w:after="0" w:line="360" w:lineRule="auto"/>
        <w:ind w:firstLine="480" w:firstLineChars="200"/>
        <w:rPr>
          <w:rFonts w:asciiTheme="minorEastAsia" w:hAnsiTheme="minorEastAsia" w:eastAsiaTheme="minorEastAsia"/>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3、合同任何一方因不可抗力事件不能履行合同的全部或部分义务时，根据不可抗 力的影响， 部分或全部免除责任。但因一方延迟履行合同后发生不可抗力的，责任不能免除。</w:t>
      </w:r>
    </w:p>
    <w:p w14:paraId="24B17B9C">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eastAsia="zh-CN"/>
        </w:rPr>
        <w:t>九</w:t>
      </w:r>
      <w:r>
        <w:rPr>
          <w:rFonts w:hint="eastAsia" w:asciiTheme="minorEastAsia" w:hAnsiTheme="minorEastAsia" w:eastAsiaTheme="minorEastAsia"/>
          <w:color w:val="auto"/>
          <w:sz w:val="24"/>
          <w:highlight w:val="none"/>
        </w:rPr>
        <w:t>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索赔</w:t>
      </w:r>
    </w:p>
    <w:p w14:paraId="7B74DF01">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、如有异议</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甲方有权根据有关政府部门的检验结果向乙方提出索赔。</w:t>
      </w:r>
    </w:p>
    <w:p w14:paraId="6160BB5A">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、在合同执行期间</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如果乙方对甲方提出的索赔和差异负有责任</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乙方应按照甲方同意的下列一种或多种方式解决索赔事宜</w:t>
      </w:r>
      <w:r>
        <w:rPr>
          <w:rFonts w:asciiTheme="minorEastAsia" w:hAnsiTheme="minorEastAsia" w:eastAsiaTheme="minorEastAsia"/>
          <w:color w:val="auto"/>
          <w:sz w:val="24"/>
          <w:szCs w:val="24"/>
          <w:highlight w:val="none"/>
        </w:rPr>
        <w:t>:</w:t>
      </w:r>
    </w:p>
    <w:p w14:paraId="432F000B">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乙方同意退</w:t>
      </w:r>
      <w:r>
        <w:rPr>
          <w:rFonts w:hint="eastAsia" w:asciiTheme="minorEastAsia" w:hAnsiTheme="minorEastAsia" w:eastAsiaTheme="minorEastAsia"/>
          <w:color w:val="auto"/>
          <w:sz w:val="24"/>
          <w:szCs w:val="24"/>
          <w:highlight w:val="none"/>
          <w:lang w:eastAsia="zh-CN"/>
        </w:rPr>
        <w:t>款</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按合同规定的同种货币将货款退还给甲方</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并承担由此发生的一切损失和费用。</w:t>
      </w:r>
    </w:p>
    <w:p w14:paraId="2A0EC3F6">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用符合规格、质量和性能要求的新零件、部件或货物来更换有缺陷的部分或修补缺陷的部分</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乙方应承担一切费用和风险并负担甲方所发生的一切直接费用。同时</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相应延长质量保证期。</w:t>
      </w:r>
    </w:p>
    <w:p w14:paraId="0E2C03D9">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w:t>
      </w:r>
      <w:r>
        <w:rPr>
          <w:rFonts w:hint="eastAsia" w:asciiTheme="minorEastAsia" w:hAnsiTheme="minorEastAsia" w:eastAsiaTheme="minorEastAsia"/>
          <w:color w:val="auto"/>
          <w:sz w:val="24"/>
          <w:szCs w:val="24"/>
          <w:highlight w:val="none"/>
        </w:rPr>
        <w:t>、如果在甲方发出索赔通知后</w:t>
      </w:r>
      <w:r>
        <w:rPr>
          <w:rFonts w:asciiTheme="minorEastAsia" w:hAnsiTheme="minorEastAsia" w:eastAsiaTheme="minorEastAsia"/>
          <w:color w:val="auto"/>
          <w:sz w:val="24"/>
          <w:szCs w:val="24"/>
          <w:highlight w:val="none"/>
        </w:rPr>
        <w:t>30</w:t>
      </w:r>
      <w:r>
        <w:rPr>
          <w:rFonts w:hint="eastAsia" w:asciiTheme="minorEastAsia" w:hAnsiTheme="minorEastAsia" w:eastAsiaTheme="minorEastAsia"/>
          <w:color w:val="auto"/>
          <w:sz w:val="24"/>
          <w:szCs w:val="24"/>
          <w:highlight w:val="none"/>
        </w:rPr>
        <w:t>天内</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乙方未作书面答复</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上述索赔应视为已被乙方接受。甲方将从合同款项中扣回索赔金额。如果这些金额不足以补偿索赔金额</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甲方有权向乙方提出不足部分的补偿。</w:t>
      </w:r>
    </w:p>
    <w:p w14:paraId="04E3D115">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合同终止</w:t>
      </w:r>
    </w:p>
    <w:p w14:paraId="47408D0B">
      <w:pPr>
        <w:spacing w:after="0" w:line="360" w:lineRule="auto"/>
        <w:ind w:firstLine="480" w:firstLineChars="200"/>
        <w:jc w:val="both"/>
        <w:rPr>
          <w:rFonts w:hint="default" w:eastAsiaTheme="minorEastAsia"/>
          <w:color w:val="auto"/>
          <w:highlight w:val="none"/>
          <w:lang w:val="en-US" w:eastAsia="zh-CN"/>
        </w:rPr>
      </w:pPr>
      <w:r>
        <w:rPr>
          <w:rFonts w:hint="eastAsia" w:asciiTheme="minorEastAsia" w:hAnsiTheme="minorEastAsia" w:eastAsiaTheme="minorEastAsia"/>
          <w:color w:val="auto"/>
          <w:sz w:val="24"/>
          <w:szCs w:val="24"/>
          <w:highlight w:val="none"/>
          <w:lang w:val="en-US" w:eastAsia="zh-CN"/>
        </w:rPr>
        <w:t>1.</w:t>
      </w:r>
      <w:r>
        <w:rPr>
          <w:rFonts w:hint="eastAsia" w:asciiTheme="minorEastAsia" w:hAnsiTheme="minorEastAsia" w:eastAsiaTheme="minorEastAsia"/>
          <w:color w:val="auto"/>
          <w:sz w:val="24"/>
          <w:szCs w:val="24"/>
          <w:highlight w:val="none"/>
        </w:rPr>
        <w:t>如果一方严重违反合同</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并在收到对方违约通知书后</w:t>
      </w:r>
      <w:r>
        <w:rPr>
          <w:rFonts w:asciiTheme="minorEastAsia" w:hAnsiTheme="minorEastAsia" w:eastAsiaTheme="minorEastAsia"/>
          <w:color w:val="auto"/>
          <w:sz w:val="24"/>
          <w:szCs w:val="24"/>
          <w:highlight w:val="none"/>
        </w:rPr>
        <w:t>30</w:t>
      </w:r>
      <w:r>
        <w:rPr>
          <w:rFonts w:hint="eastAsia" w:asciiTheme="minorEastAsia" w:hAnsiTheme="minorEastAsia" w:eastAsiaTheme="minorEastAsia"/>
          <w:color w:val="auto"/>
          <w:sz w:val="24"/>
          <w:szCs w:val="24"/>
          <w:highlight w:val="none"/>
        </w:rPr>
        <w:t>天内仍未能改正违约的，另一方可立即终止本合同。</w:t>
      </w:r>
    </w:p>
    <w:p w14:paraId="0239F3AC">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第十一条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争议解决</w:t>
      </w:r>
    </w:p>
    <w:p w14:paraId="5865CF47">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凡因本合同的签订、履行、解除、终止引起的或与本合同有关的任何争议，双方应通过友好协商解决，</w:t>
      </w:r>
      <w:r>
        <w:rPr>
          <w:rFonts w:hint="eastAsia" w:asciiTheme="minorEastAsia" w:hAnsiTheme="minorEastAsia" w:eastAsiaTheme="minorEastAsia"/>
          <w:color w:val="auto"/>
          <w:sz w:val="24"/>
          <w:szCs w:val="24"/>
          <w:highlight w:val="none"/>
        </w:rPr>
        <w:t>协商不成时，向延安市宝塔区人民法院提起诉讼解决。诉讼期间</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双方应继续执行合同其余部分。</w:t>
      </w:r>
    </w:p>
    <w:p w14:paraId="43B6B0F2">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第十二条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信息保密：</w:t>
      </w:r>
    </w:p>
    <w:p w14:paraId="76C0D5D9">
      <w:pPr>
        <w:spacing w:after="0"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甲乙双方有义务对本合同的价格及详细内容进行保密；哪一方若违背此保密承诺，则应自行承担相应的责任并独自去面对厂家或总代理商的追责和诉讼，与另一方无关。</w:t>
      </w:r>
    </w:p>
    <w:p w14:paraId="0F27AF59">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第十三条 其他</w:t>
      </w:r>
    </w:p>
    <w:p w14:paraId="1D5EA1B5">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1、本合同在执行期间如因国家有关政策、法律法规变动或其他原因确需变动时，双方应本着友好、坦诚、互谅、公平诚信的态度依法对相关条款做出必要的调整和补充。</w:t>
      </w:r>
    </w:p>
    <w:p w14:paraId="3810FDEE">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2、甲乙双方对合作过程中所知晓的对方商业秘密负有保密义务，未取得对方书面同意，不得以任何形式向其他人员或机构透露，该保密义务不因本协议的终止而取消。如因泄密而导致对方损失，泄密方应承担相应的赔偿责任。</w:t>
      </w:r>
    </w:p>
    <w:p w14:paraId="0B560434">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3、本合同未尽事宜，由甲乙双方另行协商解决，并签订补充合同，补充合同与本合同书具有同等法律效力。</w:t>
      </w:r>
    </w:p>
    <w:p w14:paraId="764F3CF5">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4、本合同自双方盖章之日起生效。对本合同作出的任何修改和/或补充应为书面形式，并由双方盖章后生效。</w:t>
      </w:r>
    </w:p>
    <w:p w14:paraId="540A57D3">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5、本合同书正本一式伍份，甲方执肆份，乙方执壹份，具有同等法律效力。</w:t>
      </w:r>
      <w:r>
        <w:rPr>
          <w:rFonts w:hint="eastAsia" w:asciiTheme="minorEastAsia" w:hAnsiTheme="minorEastAsia" w:eastAsiaTheme="minorEastAsia"/>
          <w:color w:val="auto"/>
          <w:sz w:val="24"/>
          <w:szCs w:val="24"/>
          <w:highlight w:val="none"/>
        </w:rPr>
        <w:t>合同自签字、盖章之日起生效。</w:t>
      </w:r>
    </w:p>
    <w:p w14:paraId="558B43C5">
      <w:pPr>
        <w:spacing w:beforeLines="250" w:after="0" w:line="360" w:lineRule="auto"/>
        <w:ind w:left="6440" w:hanging="6440" w:hangingChars="2300"/>
        <w:jc w:val="both"/>
        <w:rPr>
          <w:rFonts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 xml:space="preserve">甲方（签章）：                </w:t>
      </w:r>
      <w:r>
        <w:rPr>
          <w:rFonts w:cs="宋体" w:asciiTheme="minorEastAsia" w:hAnsiTheme="minorEastAsia" w:eastAsiaTheme="minorEastAsia"/>
          <w:color w:val="auto"/>
          <w:sz w:val="28"/>
          <w:szCs w:val="28"/>
          <w:highlight w:val="none"/>
        </w:rPr>
        <w:t xml:space="preserve"> </w:t>
      </w:r>
      <w:r>
        <w:rPr>
          <w:rFonts w:hint="eastAsia" w:cs="宋体" w:asciiTheme="minorEastAsia" w:hAnsiTheme="minorEastAsia" w:eastAsiaTheme="minorEastAsia"/>
          <w:color w:val="auto"/>
          <w:sz w:val="28"/>
          <w:szCs w:val="28"/>
          <w:highlight w:val="none"/>
        </w:rPr>
        <w:t>乙方（签章）：</w:t>
      </w:r>
      <w:r>
        <w:rPr>
          <w:rFonts w:asciiTheme="minorEastAsia" w:hAnsiTheme="minorEastAsia" w:eastAsiaTheme="minorEastAsia"/>
          <w:color w:val="auto"/>
          <w:sz w:val="28"/>
          <w:szCs w:val="28"/>
          <w:highlight w:val="none"/>
        </w:rPr>
        <w:t xml:space="preserve"> </w:t>
      </w:r>
    </w:p>
    <w:p w14:paraId="4816713D">
      <w:pPr>
        <w:spacing w:beforeLines="250" w:after="0" w:line="360" w:lineRule="auto"/>
        <w:jc w:val="both"/>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法定代表人：                   法定代表人或委托人：</w:t>
      </w:r>
    </w:p>
    <w:p w14:paraId="2CF83BA2">
      <w:pPr>
        <w:spacing w:beforeLines="250" w:after="0" w:line="360" w:lineRule="auto"/>
        <w:ind w:firstLine="561"/>
        <w:jc w:val="both"/>
        <w:rPr>
          <w:rFonts w:ascii="宋体" w:hAnsi="宋体" w:eastAsia="宋体" w:cs="宋体"/>
          <w:b/>
          <w:bCs/>
          <w:color w:val="auto"/>
          <w:sz w:val="24"/>
          <w:szCs w:val="24"/>
          <w:highlight w:val="none"/>
        </w:rPr>
      </w:pPr>
      <w:r>
        <w:rPr>
          <w:rFonts w:hint="eastAsia" w:cs="宋体" w:asciiTheme="minorEastAsia" w:hAnsiTheme="minorEastAsia" w:eastAsiaTheme="minorEastAsia"/>
          <w:color w:val="auto"/>
          <w:sz w:val="28"/>
          <w:szCs w:val="28"/>
          <w:highlight w:val="none"/>
        </w:rPr>
        <w:t xml:space="preserve">       年    月    日                   年     月     日</w:t>
      </w:r>
    </w:p>
    <w:sectPr>
      <w:pgSz w:w="11906" w:h="16838"/>
      <w:pgMar w:top="1020" w:right="1134" w:bottom="1020"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noLineBreaksAfter w:lang="zh-CN" w:val="$([{£¥·‘“〈《「『【〔〖〝﹙﹛﹝＄（．［｛￡￥"/>
  <w:noLineBreaksBefore w:lang="zh-CN" w:val="!%),.:;&gt;?]}¢¨°·ˇˉ―‖’”…‰′″›℃∶、。〃〉》」』】〕〗〞︶︺︾﹀﹄﹚﹜﹞！＂％＇），．：；？］｀｜｝～￠"/>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M2I1NmZkNzA5MDcyOGE3ODVhOTc4N2Q2N2E5MDMifQ=="/>
  </w:docVars>
  <w:rsids>
    <w:rsidRoot w:val="00ED0AB5"/>
    <w:rsid w:val="00150AD5"/>
    <w:rsid w:val="0015124D"/>
    <w:rsid w:val="001E51E1"/>
    <w:rsid w:val="00351E84"/>
    <w:rsid w:val="003755D9"/>
    <w:rsid w:val="003B435E"/>
    <w:rsid w:val="00652430"/>
    <w:rsid w:val="00670502"/>
    <w:rsid w:val="00780153"/>
    <w:rsid w:val="00802F96"/>
    <w:rsid w:val="008F43CE"/>
    <w:rsid w:val="0095319E"/>
    <w:rsid w:val="00977F02"/>
    <w:rsid w:val="00AA2EF1"/>
    <w:rsid w:val="00C40568"/>
    <w:rsid w:val="00D00984"/>
    <w:rsid w:val="00D049E0"/>
    <w:rsid w:val="00ED0AB5"/>
    <w:rsid w:val="00F521F6"/>
    <w:rsid w:val="031A6BF7"/>
    <w:rsid w:val="045949E1"/>
    <w:rsid w:val="07935C2F"/>
    <w:rsid w:val="0F5C1C1F"/>
    <w:rsid w:val="0F863546"/>
    <w:rsid w:val="1820473B"/>
    <w:rsid w:val="1B486183"/>
    <w:rsid w:val="20022EF8"/>
    <w:rsid w:val="20F6258E"/>
    <w:rsid w:val="312F2E82"/>
    <w:rsid w:val="33F86541"/>
    <w:rsid w:val="39AE1A35"/>
    <w:rsid w:val="3F4B27D5"/>
    <w:rsid w:val="3FC43815"/>
    <w:rsid w:val="408C7FFF"/>
    <w:rsid w:val="41344930"/>
    <w:rsid w:val="41800B63"/>
    <w:rsid w:val="4BAE1101"/>
    <w:rsid w:val="50610B72"/>
    <w:rsid w:val="5A9C23A8"/>
    <w:rsid w:val="5C8E6EF7"/>
    <w:rsid w:val="5D1458EA"/>
    <w:rsid w:val="5D227E4E"/>
    <w:rsid w:val="5D8939CF"/>
    <w:rsid w:val="5DA413D3"/>
    <w:rsid w:val="620052AF"/>
    <w:rsid w:val="69514F10"/>
    <w:rsid w:val="713C375B"/>
    <w:rsid w:val="7A856821"/>
    <w:rsid w:val="7FF1341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2"/>
    <w:basedOn w:val="1"/>
    <w:next w:val="1"/>
    <w:link w:val="17"/>
    <w:autoRedefine/>
    <w:qFormat/>
    <w:locked/>
    <w:uiPriority w:val="0"/>
    <w:pPr>
      <w:keepNext/>
      <w:keepLines/>
      <w:widowControl w:val="0"/>
      <w:adjustRightInd/>
      <w:snapToGrid/>
      <w:spacing w:before="260" w:after="260" w:line="416" w:lineRule="auto"/>
      <w:jc w:val="both"/>
      <w:outlineLvl w:val="1"/>
    </w:pPr>
    <w:rPr>
      <w:rFonts w:ascii="Arial" w:hAnsi="Arial" w:eastAsia="黑体"/>
      <w:b/>
      <w:bCs/>
      <w:kern w:val="2"/>
      <w:sz w:val="32"/>
      <w:szCs w:val="32"/>
    </w:rPr>
  </w:style>
  <w:style w:type="character" w:default="1" w:styleId="13">
    <w:name w:val="Default Paragraph Font"/>
    <w:autoRedefine/>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style>
  <w:style w:type="paragraph" w:styleId="4">
    <w:name w:val="Body Text"/>
    <w:basedOn w:val="1"/>
    <w:next w:val="1"/>
    <w:link w:val="20"/>
    <w:autoRedefine/>
    <w:qFormat/>
    <w:uiPriority w:val="99"/>
    <w:pPr>
      <w:spacing w:after="120"/>
    </w:pPr>
  </w:style>
  <w:style w:type="paragraph" w:styleId="5">
    <w:name w:val="Body Text Indent"/>
    <w:basedOn w:val="1"/>
    <w:autoRedefine/>
    <w:unhideWhenUsed/>
    <w:qFormat/>
    <w:uiPriority w:val="99"/>
    <w:pPr>
      <w:spacing w:after="120"/>
      <w:ind w:left="420" w:leftChars="200"/>
    </w:pPr>
  </w:style>
  <w:style w:type="paragraph" w:styleId="6">
    <w:name w:val="Balloon Text"/>
    <w:basedOn w:val="1"/>
    <w:link w:val="14"/>
    <w:autoRedefine/>
    <w:semiHidden/>
    <w:qFormat/>
    <w:uiPriority w:val="99"/>
    <w:rPr>
      <w:sz w:val="18"/>
      <w:szCs w:val="18"/>
    </w:rPr>
  </w:style>
  <w:style w:type="paragraph" w:styleId="7">
    <w:name w:val="footer"/>
    <w:basedOn w:val="1"/>
    <w:link w:val="16"/>
    <w:autoRedefine/>
    <w:unhideWhenUsed/>
    <w:qFormat/>
    <w:uiPriority w:val="99"/>
    <w:pPr>
      <w:tabs>
        <w:tab w:val="center" w:pos="4153"/>
        <w:tab w:val="right" w:pos="8306"/>
      </w:tabs>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jc w:val="center"/>
    </w:pPr>
    <w:rPr>
      <w:sz w:val="18"/>
      <w:szCs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5"/>
    <w:next w:val="1"/>
    <w:autoRedefine/>
    <w:qFormat/>
    <w:uiPriority w:val="0"/>
    <w:pPr>
      <w:spacing w:after="0" w:line="400" w:lineRule="exact"/>
      <w:ind w:left="360" w:leftChars="0" w:firstLine="420" w:firstLineChars="200"/>
    </w:pPr>
    <w:rPr>
      <w:rFonts w:ascii="华文中宋" w:hAnsi="华文中宋" w:eastAsia="华文中宋"/>
      <w:color w:val="FF6600"/>
      <w:sz w:val="24"/>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批注框文本 Char"/>
    <w:basedOn w:val="13"/>
    <w:link w:val="6"/>
    <w:autoRedefine/>
    <w:semiHidden/>
    <w:qFormat/>
    <w:uiPriority w:val="99"/>
    <w:rPr>
      <w:rFonts w:ascii="Tahoma" w:hAnsi="Tahoma"/>
      <w:kern w:val="0"/>
      <w:sz w:val="0"/>
      <w:szCs w:val="0"/>
    </w:rPr>
  </w:style>
  <w:style w:type="character" w:customStyle="1" w:styleId="15">
    <w:name w:val="页眉 Char"/>
    <w:basedOn w:val="13"/>
    <w:link w:val="8"/>
    <w:autoRedefine/>
    <w:qFormat/>
    <w:uiPriority w:val="99"/>
    <w:rPr>
      <w:rFonts w:ascii="Tahoma" w:hAnsi="Tahoma"/>
      <w:kern w:val="0"/>
      <w:sz w:val="18"/>
      <w:szCs w:val="18"/>
    </w:rPr>
  </w:style>
  <w:style w:type="character" w:customStyle="1" w:styleId="16">
    <w:name w:val="页脚 Char"/>
    <w:basedOn w:val="13"/>
    <w:link w:val="7"/>
    <w:autoRedefine/>
    <w:qFormat/>
    <w:uiPriority w:val="99"/>
    <w:rPr>
      <w:rFonts w:ascii="Tahoma" w:hAnsi="Tahoma"/>
      <w:kern w:val="0"/>
      <w:sz w:val="18"/>
      <w:szCs w:val="18"/>
    </w:rPr>
  </w:style>
  <w:style w:type="character" w:customStyle="1" w:styleId="17">
    <w:name w:val="标题 2 Char"/>
    <w:basedOn w:val="13"/>
    <w:link w:val="2"/>
    <w:autoRedefine/>
    <w:qFormat/>
    <w:uiPriority w:val="0"/>
    <w:rPr>
      <w:rFonts w:ascii="Arial" w:hAnsi="Arial" w:eastAsia="黑体"/>
      <w:b/>
      <w:bCs/>
      <w:kern w:val="2"/>
      <w:sz w:val="32"/>
      <w:szCs w:val="32"/>
    </w:rPr>
  </w:style>
  <w:style w:type="character" w:customStyle="1" w:styleId="18">
    <w:name w:val="font12"/>
    <w:autoRedefine/>
    <w:qFormat/>
    <w:uiPriority w:val="0"/>
    <w:rPr>
      <w:rFonts w:ascii="微软雅黑" w:hAnsi="微软雅黑" w:eastAsia="微软雅黑" w:cs="微软雅黑"/>
      <w:b/>
      <w:color w:val="000000"/>
      <w:sz w:val="40"/>
      <w:szCs w:val="40"/>
      <w:u w:val="none"/>
    </w:rPr>
  </w:style>
  <w:style w:type="paragraph" w:customStyle="1" w:styleId="19">
    <w:name w:val="列出段落1"/>
    <w:basedOn w:val="1"/>
    <w:autoRedefine/>
    <w:qFormat/>
    <w:uiPriority w:val="99"/>
    <w:pPr>
      <w:ind w:firstLine="420" w:firstLineChars="200"/>
    </w:pPr>
  </w:style>
  <w:style w:type="character" w:customStyle="1" w:styleId="20">
    <w:name w:val="正文文本 Char"/>
    <w:basedOn w:val="13"/>
    <w:link w:val="4"/>
    <w:autoRedefine/>
    <w:qFormat/>
    <w:uiPriority w:val="99"/>
    <w:rPr>
      <w:rFonts w:ascii="Tahoma" w:hAnsi="Tahoma"/>
      <w:sz w:val="22"/>
      <w:szCs w:val="22"/>
    </w:rPr>
  </w:style>
  <w:style w:type="paragraph" w:customStyle="1" w:styleId="21">
    <w:name w:val="列出段落2"/>
    <w:basedOn w:val="1"/>
    <w:autoRedefine/>
    <w:qFormat/>
    <w:uiPriority w:val="34"/>
    <w:pPr>
      <w:widowControl w:val="0"/>
      <w:adjustRightInd/>
      <w:snapToGrid/>
      <w:spacing w:after="0"/>
      <w:ind w:firstLine="420" w:firstLineChars="200"/>
      <w:jc w:val="both"/>
    </w:pPr>
    <w:rPr>
      <w:rFonts w:ascii="Times New Roman" w:hAnsi="Times New Roman" w:eastAsia="宋体"/>
      <w:kern w:val="2"/>
      <w:sz w:val="21"/>
      <w:szCs w:val="24"/>
    </w:rPr>
  </w:style>
  <w:style w:type="paragraph" w:customStyle="1" w:styleId="22">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列表段落1"/>
    <w:basedOn w:val="1"/>
    <w:autoRedefine/>
    <w:qFormat/>
    <w:uiPriority w:val="0"/>
    <w:pPr>
      <w:widowControl w:val="0"/>
      <w:adjustRightInd/>
      <w:snapToGrid/>
      <w:spacing w:after="0"/>
      <w:ind w:firstLine="420" w:firstLineChars="200"/>
      <w:jc w:val="both"/>
    </w:pPr>
    <w:rPr>
      <w:rFonts w:ascii="Times New Roman" w:hAnsi="Times New Roman" w:eastAsia="宋体"/>
      <w:kern w:val="2"/>
      <w:sz w:val="21"/>
      <w:szCs w:val="24"/>
    </w:rPr>
  </w:style>
  <w:style w:type="table" w:customStyle="1" w:styleId="24">
    <w:name w:val="TableGrid"/>
    <w:autoRedefine/>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customStyle="1" w:styleId="2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2658</Words>
  <Characters>2766</Characters>
  <Lines>19</Lines>
  <Paragraphs>5</Paragraphs>
  <TotalTime>1</TotalTime>
  <ScaleCrop>false</ScaleCrop>
  <LinksUpToDate>false</LinksUpToDate>
  <CharactersWithSpaces>2950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2023-07-20T02:41:00Z</dcterms:created>
  <dc:creator>新账户</dc:creator>
  <cp:lastModifiedBy>陕西宏扬项目管理有限公司主锁</cp:lastModifiedBy>
  <cp:lastPrinted>2022-02-22T16:50:00Z</cp:lastPrinted>
  <dcterms:modified xsi:type="dcterms:W3CDTF">2025-11-24T00:45:50Z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C5D719D1BA7E4377ADB208C90F52189B_13</vt:lpwstr>
  </property>
  <property fmtid="{D5CDD505-2E9C-101B-9397-08002B2CF9AE}" pid="4" name="KSOTemplateDocerSaveRecord">
    <vt:lpwstr>eyJoZGlkIjoiYWFmNjk2NDUwNTYyZjgzZTI4MzE1ZDhmOGVlZDAwYWEiLCJ1c2VySWQiOiIyOTY2Njk3MjAifQ==</vt:lpwstr>
  </property>
</Properties>
</file>