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版本号：JRZC-202509920251121001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飞利浦IQON能谱CT保修项目</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JRZC-2025099</w:t>
      </w:r>
      <w:r>
        <w:br/>
      </w:r>
      <w:r>
        <w:br/>
      </w:r>
      <w:r>
        <w:br/>
      </w:r>
    </w:p>
    <w:p>
      <w:pPr>
        <w:pStyle w:val="null3"/>
        <w:jc w:val="center"/>
        <w:outlineLvl w:val="5"/>
      </w:pPr>
      <w:r>
        <w:rPr>
          <w:rFonts w:ascii="仿宋_GB2312" w:hAnsi="仿宋_GB2312" w:cs="仿宋_GB2312" w:eastAsia="仿宋_GB2312"/>
          <w:sz w:val="15"/>
          <w:b/>
        </w:rPr>
        <w:t>延安大学附属医院</w:t>
      </w:r>
    </w:p>
    <w:p>
      <w:pPr>
        <w:pStyle w:val="null3"/>
        <w:jc w:val="center"/>
        <w:outlineLvl w:val="5"/>
      </w:pPr>
      <w:r>
        <w:rPr>
          <w:rFonts w:ascii="仿宋_GB2312" w:hAnsi="仿宋_GB2312" w:cs="仿宋_GB2312" w:eastAsia="仿宋_GB2312"/>
          <w:sz w:val="15"/>
          <w:b/>
        </w:rPr>
        <w:t>陕西炬荣招标代理有限公司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2025年11月24日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陕西炬荣招标代理有限公司</w:t>
      </w:r>
      <w:r>
        <w:rPr>
          <w:rFonts w:ascii="仿宋_GB2312" w:hAnsi="仿宋_GB2312" w:cs="仿宋_GB2312" w:eastAsia="仿宋_GB2312"/>
        </w:rPr>
        <w:t>（以下简称“代理机构”）受</w:t>
      </w:r>
      <w:r>
        <w:rPr>
          <w:rFonts w:ascii="仿宋_GB2312" w:hAnsi="仿宋_GB2312" w:cs="仿宋_GB2312" w:eastAsia="仿宋_GB2312"/>
        </w:rPr>
        <w:t>延安大学附属医院</w:t>
      </w:r>
      <w:r>
        <w:rPr>
          <w:rFonts w:ascii="仿宋_GB2312" w:hAnsi="仿宋_GB2312" w:cs="仿宋_GB2312" w:eastAsia="仿宋_GB2312"/>
        </w:rPr>
        <w:t>委托，拟对</w:t>
      </w:r>
      <w:r>
        <w:rPr>
          <w:rFonts w:ascii="仿宋_GB2312" w:hAnsi="仿宋_GB2312" w:cs="仿宋_GB2312" w:eastAsia="仿宋_GB2312"/>
        </w:rPr>
        <w:t>飞利浦IQON能谱CT保修项目</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JRZC-2025099</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飞利浦IQON能谱CT保修项目</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飞利浦IQon能谱CT维保，提供设备的全面保修的服务，包括设备的定期维护和检修，快速故障响应，故障的诊断和维修，更换维修备件，服务报告和反馈，确保CT设备持续的可用性。</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采购包1（延安大学附属医院飞利浦IQON能谱CT保修项目）：属于专门面向中小企业采购。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1、营业执照：具有独立承担民事责任能力的法人或其他组织，提供合法有效的统一社会信用代码的营业执照（附年度报告书）或事业单位法人证书等国家规定的相关证明，自然人参与的提供其身份证明；</w:t>
      </w:r>
    </w:p>
    <w:p>
      <w:pPr>
        <w:pStyle w:val="null3"/>
      </w:pPr>
      <w:r>
        <w:rPr>
          <w:rFonts w:ascii="仿宋_GB2312" w:hAnsi="仿宋_GB2312" w:cs="仿宋_GB2312" w:eastAsia="仿宋_GB2312"/>
        </w:rPr>
        <w:t>2、法定代表人授权书：法定代表人授权书（附法定代表人身份证复印件）及被授权人身份证（法定代表人直接参加只须提供法定代表人身份证）；</w:t>
      </w:r>
    </w:p>
    <w:p>
      <w:pPr>
        <w:pStyle w:val="null3"/>
      </w:pPr>
      <w:r>
        <w:rPr>
          <w:rFonts w:ascii="仿宋_GB2312" w:hAnsi="仿宋_GB2312" w:cs="仿宋_GB2312" w:eastAsia="仿宋_GB2312"/>
        </w:rPr>
        <w:t>3、税收缴纳证明：提供2024年度11月至2025年度11月份任意一个月份的缴税凭证或依法免税的供应商应提供相关文件证明；</w:t>
      </w:r>
    </w:p>
    <w:p>
      <w:pPr>
        <w:pStyle w:val="null3"/>
      </w:pPr>
      <w:r>
        <w:rPr>
          <w:rFonts w:ascii="仿宋_GB2312" w:hAnsi="仿宋_GB2312" w:cs="仿宋_GB2312" w:eastAsia="仿宋_GB2312"/>
        </w:rPr>
        <w:t>4、社会保障资金缴纳证明：提供已缴纳的2024年11月份至2025年11月份任意一个月的社会保障资金缴存证明或社保机构开具的社会保险参保缴费情况证明；依法不需要缴纳社会保障资金的应提供相关文件证明；</w:t>
      </w:r>
    </w:p>
    <w:p>
      <w:pPr>
        <w:pStyle w:val="null3"/>
      </w:pPr>
      <w:r>
        <w:rPr>
          <w:rFonts w:ascii="仿宋_GB2312" w:hAnsi="仿宋_GB2312" w:cs="仿宋_GB2312" w:eastAsia="仿宋_GB2312"/>
        </w:rPr>
        <w:t>5、财务审计报告：供应商须提供2023年度或2024年度的财务审计报告(成立时间至提交响应文件截止时间不足一年的可提供成立后任意时段的资产负债表)，或其基本存款账户开户银行出具的资信证明及基本存款账户开户信息；</w:t>
      </w:r>
    </w:p>
    <w:p>
      <w:pPr>
        <w:pStyle w:val="null3"/>
      </w:pPr>
      <w:r>
        <w:rPr>
          <w:rFonts w:ascii="仿宋_GB2312" w:hAnsi="仿宋_GB2312" w:cs="仿宋_GB2312" w:eastAsia="仿宋_GB2312"/>
        </w:rPr>
        <w:t>6、信用记录：提供《供应商信用记录书面声明函》（按格式填写）经查，供应商未被列入“信用中国”网站记录的“严重失信主体”或“重大税收违法失信主体”名单；不处于“中国政府采购网”记录的“政府采购严重违法失信行为信息记录名单”中的禁止参加政府采购活动期间，且参加政府采购活动近三年内，在经营活动中没有重大违法记录；</w:t>
      </w:r>
    </w:p>
    <w:p>
      <w:pPr>
        <w:pStyle w:val="null3"/>
      </w:pPr>
      <w:r>
        <w:rPr>
          <w:rFonts w:ascii="仿宋_GB2312" w:hAnsi="仿宋_GB2312" w:cs="仿宋_GB2312" w:eastAsia="仿宋_GB2312"/>
        </w:rPr>
        <w:t>7、中小企业声明函：供应商须提供中小企业声明函</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延安大学附属医院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陕西省延安市宝塔区北大街43号延安大学附属医院</w:t>
      </w:r>
    </w:p>
    <w:p>
      <w:pPr>
        <w:pStyle w:val="null3"/>
      </w:pPr>
      <w:r>
        <w:rPr>
          <w:rFonts w:ascii="仿宋_GB2312" w:hAnsi="仿宋_GB2312" w:cs="仿宋_GB2312" w:eastAsia="仿宋_GB2312"/>
        </w:rPr>
        <w:t xml:space="preserve"> 邮编： </w:t>
      </w:r>
      <w:r>
        <w:rPr>
          <w:rFonts w:ascii="仿宋_GB2312" w:hAnsi="仿宋_GB2312" w:cs="仿宋_GB2312" w:eastAsia="仿宋_GB2312"/>
        </w:rPr>
        <w:t>716000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马主任</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0911-2881326</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陕西炬荣招标代理有限公司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延安市新区坤岗国际七号楼一单元602室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716000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张鹏</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0911-8887276</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采购包1：2,980,000.00元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采购包1：2,980,000.00元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收费标准依据《国家发展改革委关于进一步放开建设项目专业服务价格的通知》发改价格〔2015〕299号参照原国家计委颁布的《招标代理服务收费管理暂行办法》（计价格[2002]1980号）及发改办价格[2003]857号文件的规定标准计算，由成交供应商在领取成交通知书前向采购代理机构一次性付清。</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延安大学附属医院</w:t>
      </w:r>
      <w:r>
        <w:rPr>
          <w:rFonts w:ascii="仿宋_GB2312" w:hAnsi="仿宋_GB2312" w:cs="仿宋_GB2312" w:eastAsia="仿宋_GB2312"/>
        </w:rPr>
        <w:t>和</w:t>
      </w:r>
      <w:r>
        <w:rPr>
          <w:rFonts w:ascii="仿宋_GB2312" w:hAnsi="仿宋_GB2312" w:cs="仿宋_GB2312" w:eastAsia="仿宋_GB2312"/>
        </w:rPr>
        <w:t>陕西炬荣招标代理有限公司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陕西炬荣招标代理有限公司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延安大学附属医院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陕西炬荣招标代理有限公司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陕西炬荣招标代理有限公司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陕西炬荣招标代理有限公司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陕西炬荣招标代理有限公司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飞利浦IQon能谱CT维保，提供设备的全面保修的服务，包括设备的定期维护和检修，快速故障响应，故障的诊断和维修，更换维修备件，服务报告和反馈，确保CT设备持续的可用性。</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2,980,000.00</w:t>
      </w:r>
    </w:p>
    <w:p>
      <w:pPr>
        <w:pStyle w:val="null3"/>
      </w:pPr>
      <w:r>
        <w:rPr>
          <w:rFonts w:ascii="仿宋_GB2312" w:hAnsi="仿宋_GB2312" w:cs="仿宋_GB2312" w:eastAsia="仿宋_GB2312"/>
        </w:rPr>
        <w:t>采购包最高限价（元）: 2,980,000.00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飞利浦IQON能谱CT保修</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2,980,000.00</w:t>
            </w:r>
          </w:p>
        </w:tc>
        <w:tc>
          <w:tcPr>
            <w:tcW w:type="dxa" w:w="831"/>
          </w:tcPr>
          <w:p>
            <w:pPr>
              <w:pStyle w:val="null3"/>
            </w:pPr>
            <w:r>
              <w:rPr>
                <w:rFonts w:ascii="仿宋_GB2312" w:hAnsi="仿宋_GB2312" w:cs="仿宋_GB2312" w:eastAsia="仿宋_GB2312"/>
              </w:rPr>
              <w:t>年</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标的名称：飞利浦IQON能谱CT保修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服务期：2年；质量目标：合格</w:t>
            </w:r>
          </w:p>
          <w:tbl>
            <w:tblPr>
              <w:tblBorders>
                <w:top w:val="none" w:color="000000" w:sz="4"/>
                <w:left w:val="none" w:color="000000" w:sz="4"/>
                <w:bottom w:val="none" w:color="000000" w:sz="4"/>
                <w:right w:val="none" w:color="000000" w:sz="4"/>
                <w:insideH w:val="none"/>
                <w:insideV w:val="none"/>
              </w:tblBorders>
            </w:tblPr>
            <w:tblGrid>
              <w:gridCol w:w="228"/>
              <w:gridCol w:w="2316"/>
            </w:tblGrid>
            <w:tr>
              <w:tc>
                <w:tcPr>
                  <w:tcW w:type="dxa" w:w="2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1"/>
                    </w:rPr>
                    <w:t>条款目号</w:t>
                  </w:r>
                </w:p>
              </w:tc>
              <w:tc>
                <w:tcPr>
                  <w:tcW w:type="dxa" w:w="231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1"/>
                    </w:rPr>
                    <w:t>条款内容</w:t>
                  </w:r>
                </w:p>
              </w:tc>
            </w:tr>
            <w:tr>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1"/>
                    </w:rPr>
                    <w:t>1</w:t>
                  </w:r>
                </w:p>
              </w:tc>
              <w:tc>
                <w:tcPr>
                  <w:tcW w:type="dxa" w:w="23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jc w:val="both"/>
                  </w:pPr>
                  <w:r>
                    <w:rPr>
                      <w:rFonts w:ascii="仿宋_GB2312" w:hAnsi="仿宋_GB2312" w:cs="仿宋_GB2312" w:eastAsia="仿宋_GB2312"/>
                      <w:sz w:val="21"/>
                    </w:rPr>
                    <w:t>服务内容：飞利浦</w:t>
                  </w:r>
                  <w:r>
                    <w:rPr>
                      <w:rFonts w:ascii="仿宋_GB2312" w:hAnsi="仿宋_GB2312" w:cs="仿宋_GB2312" w:eastAsia="仿宋_GB2312"/>
                      <w:sz w:val="21"/>
                    </w:rPr>
                    <w:t>IQon能谱CT设备整机保修服务，包含工作站保修，不包含第三方产品。通过日常巡检、质控保养、配件更换（包含：探测器、高压、球管等）、技术支持服务等内容，保证设备状态符合国家质量监督部门以及卫生监督部门的标准。</w:t>
                  </w:r>
                </w:p>
              </w:tc>
            </w:tr>
            <w:tr>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1"/>
                    </w:rPr>
                    <w:t>2</w:t>
                  </w:r>
                </w:p>
              </w:tc>
              <w:tc>
                <w:tcPr>
                  <w:tcW w:type="dxa" w:w="23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jc w:val="both"/>
                  </w:pPr>
                  <w:r>
                    <w:rPr>
                      <w:rFonts w:ascii="仿宋_GB2312" w:hAnsi="仿宋_GB2312" w:cs="仿宋_GB2312" w:eastAsia="仿宋_GB2312"/>
                      <w:sz w:val="21"/>
                    </w:rPr>
                    <w:t>原厂定期保养：提供设备的安全检查、影像质量检查、设备除尘保养、运行状态检查等，每年</w:t>
                  </w:r>
                  <w:r>
                    <w:rPr>
                      <w:rFonts w:ascii="仿宋_GB2312" w:hAnsi="仿宋_GB2312" w:cs="仿宋_GB2312" w:eastAsia="仿宋_GB2312"/>
                      <w:sz w:val="21"/>
                    </w:rPr>
                    <w:t>4次符合原厂质控保养清单的专业保养。</w:t>
                  </w:r>
                </w:p>
              </w:tc>
            </w:tr>
            <w:tr>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1"/>
                    </w:rPr>
                    <w:t>3</w:t>
                  </w:r>
                </w:p>
              </w:tc>
              <w:tc>
                <w:tcPr>
                  <w:tcW w:type="dxa" w:w="23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jc w:val="both"/>
                  </w:pPr>
                  <w:r>
                    <w:rPr>
                      <w:rFonts w:ascii="仿宋_GB2312" w:hAnsi="仿宋_GB2312" w:cs="仿宋_GB2312" w:eastAsia="仿宋_GB2312"/>
                      <w:sz w:val="21"/>
                    </w:rPr>
                    <w:t>配件更换要求：</w:t>
                  </w:r>
                </w:p>
              </w:tc>
            </w:tr>
            <w:tr>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1"/>
                    </w:rPr>
                    <w:t>4</w:t>
                  </w:r>
                </w:p>
              </w:tc>
              <w:tc>
                <w:tcPr>
                  <w:tcW w:type="dxa" w:w="23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jc w:val="both"/>
                  </w:pPr>
                  <w:r>
                    <w:rPr>
                      <w:rFonts w:ascii="仿宋_GB2312" w:hAnsi="仿宋_GB2312" w:cs="仿宋_GB2312" w:eastAsia="仿宋_GB2312"/>
                      <w:sz w:val="21"/>
                    </w:rPr>
                    <w:t>（</w:t>
                  </w:r>
                  <w:r>
                    <w:rPr>
                      <w:rFonts w:ascii="仿宋_GB2312" w:hAnsi="仿宋_GB2312" w:cs="仿宋_GB2312" w:eastAsia="仿宋_GB2312"/>
                      <w:sz w:val="21"/>
                    </w:rPr>
                    <w:t>1）为保证设备正常使用，所更换配件必须为原厂配件，且保证配件来源合法合规，质量符合设备运行要求。</w:t>
                  </w:r>
                </w:p>
              </w:tc>
            </w:tr>
            <w:tr>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1"/>
                    </w:rPr>
                    <w:t>5</w:t>
                  </w:r>
                </w:p>
              </w:tc>
              <w:tc>
                <w:tcPr>
                  <w:tcW w:type="dxa" w:w="23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jc w:val="both"/>
                  </w:pPr>
                  <w:r>
                    <w:rPr>
                      <w:rFonts w:ascii="仿宋_GB2312" w:hAnsi="仿宋_GB2312" w:cs="仿宋_GB2312" w:eastAsia="仿宋_GB2312"/>
                      <w:sz w:val="21"/>
                    </w:rPr>
                    <w:t>（</w:t>
                  </w:r>
                  <w:r>
                    <w:rPr>
                      <w:rFonts w:ascii="仿宋_GB2312" w:hAnsi="仿宋_GB2312" w:cs="仿宋_GB2312" w:eastAsia="仿宋_GB2312"/>
                      <w:sz w:val="21"/>
                    </w:rPr>
                    <w:t>2）配件涉及医疗器械的，须提供相应的医疗器械注册证（进口产品需提供“进”字号注册证），涉及进口的，须提供相应的进口报关文件等。</w:t>
                  </w:r>
                </w:p>
              </w:tc>
            </w:tr>
            <w:tr>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1"/>
                    </w:rPr>
                    <w:t>6</w:t>
                  </w:r>
                </w:p>
              </w:tc>
              <w:tc>
                <w:tcPr>
                  <w:tcW w:type="dxa" w:w="23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jc w:val="both"/>
                  </w:pPr>
                  <w:r>
                    <w:rPr>
                      <w:rFonts w:ascii="仿宋_GB2312" w:hAnsi="仿宋_GB2312" w:cs="仿宋_GB2312" w:eastAsia="仿宋_GB2312"/>
                      <w:sz w:val="21"/>
                    </w:rPr>
                    <w:t>（</w:t>
                  </w:r>
                  <w:r>
                    <w:rPr>
                      <w:rFonts w:ascii="仿宋_GB2312" w:hAnsi="仿宋_GB2312" w:cs="仿宋_GB2312" w:eastAsia="仿宋_GB2312"/>
                      <w:sz w:val="21"/>
                    </w:rPr>
                    <w:t>3）更换配件的备品备件属于关境内库房的，不超过2个工作日到达维修现场；属于关境外库房的，不超过5个工作日到达维修现场。维修后所替换下的旧备件归厂家所有，厂家安排收回。</w:t>
                  </w:r>
                </w:p>
              </w:tc>
            </w:tr>
            <w:tr>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1"/>
                    </w:rPr>
                    <w:t>7</w:t>
                  </w:r>
                </w:p>
              </w:tc>
              <w:tc>
                <w:tcPr>
                  <w:tcW w:type="dxa" w:w="23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jc w:val="both"/>
                  </w:pPr>
                  <w:r>
                    <w:rPr>
                      <w:rFonts w:ascii="仿宋_GB2312" w:hAnsi="仿宋_GB2312" w:cs="仿宋_GB2312" w:eastAsia="仿宋_GB2312"/>
                      <w:sz w:val="21"/>
                    </w:rPr>
                    <w:t>（</w:t>
                  </w:r>
                  <w:r>
                    <w:rPr>
                      <w:rFonts w:ascii="仿宋_GB2312" w:hAnsi="仿宋_GB2312" w:cs="仿宋_GB2312" w:eastAsia="仿宋_GB2312"/>
                      <w:sz w:val="21"/>
                    </w:rPr>
                    <w:t>4）在本项目服务期内，供应商应优先保证本项目所涉及保修设备的备品备件更换。</w:t>
                  </w:r>
                </w:p>
              </w:tc>
            </w:tr>
            <w:tr>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1"/>
                    </w:rPr>
                    <w:t>8</w:t>
                  </w:r>
                </w:p>
              </w:tc>
              <w:tc>
                <w:tcPr>
                  <w:tcW w:type="dxa" w:w="23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jc w:val="both"/>
                  </w:pPr>
                  <w:r>
                    <w:rPr>
                      <w:rFonts w:ascii="仿宋_GB2312" w:hAnsi="仿宋_GB2312" w:cs="仿宋_GB2312" w:eastAsia="仿宋_GB2312"/>
                      <w:sz w:val="21"/>
                    </w:rPr>
                    <w:t>技术支持服务要求：</w:t>
                  </w:r>
                </w:p>
              </w:tc>
            </w:tr>
            <w:tr>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1"/>
                    </w:rPr>
                    <w:t>9</w:t>
                  </w:r>
                </w:p>
              </w:tc>
              <w:tc>
                <w:tcPr>
                  <w:tcW w:type="dxa" w:w="23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jc w:val="both"/>
                  </w:pPr>
                  <w:r>
                    <w:rPr>
                      <w:rFonts w:ascii="仿宋_GB2312" w:hAnsi="仿宋_GB2312" w:cs="仿宋_GB2312" w:eastAsia="仿宋_GB2312"/>
                      <w:sz w:val="21"/>
                    </w:rPr>
                    <w:t>（</w:t>
                  </w:r>
                  <w:r>
                    <w:rPr>
                      <w:rFonts w:ascii="仿宋_GB2312" w:hAnsi="仿宋_GB2312" w:cs="仿宋_GB2312" w:eastAsia="仿宋_GB2312"/>
                      <w:sz w:val="21"/>
                    </w:rPr>
                    <w:t>1）全年365天×24小时电话技术服务支持，专业工程师通过电话或其他在线远程支持服务响应时间不超过2小时。</w:t>
                  </w:r>
                </w:p>
              </w:tc>
            </w:tr>
            <w:tr>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1"/>
                    </w:rPr>
                    <w:t>10</w:t>
                  </w:r>
                </w:p>
              </w:tc>
              <w:tc>
                <w:tcPr>
                  <w:tcW w:type="dxa" w:w="23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jc w:val="both"/>
                  </w:pPr>
                  <w:r>
                    <w:rPr>
                      <w:rFonts w:ascii="仿宋_GB2312" w:hAnsi="仿宋_GB2312" w:cs="仿宋_GB2312" w:eastAsia="仿宋_GB2312"/>
                      <w:sz w:val="21"/>
                    </w:rPr>
                    <w:t>（</w:t>
                  </w:r>
                  <w:r>
                    <w:rPr>
                      <w:rFonts w:ascii="仿宋_GB2312" w:hAnsi="仿宋_GB2312" w:cs="仿宋_GB2312" w:eastAsia="仿宋_GB2312"/>
                      <w:sz w:val="21"/>
                    </w:rPr>
                    <w:t>2）提供远程全天24小时不间断监测设备运行状态服务，可提前预警。</w:t>
                  </w:r>
                </w:p>
              </w:tc>
            </w:tr>
            <w:tr>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1"/>
                    </w:rPr>
                    <w:t>11</w:t>
                  </w:r>
                </w:p>
              </w:tc>
              <w:tc>
                <w:tcPr>
                  <w:tcW w:type="dxa" w:w="23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jc w:val="both"/>
                  </w:pPr>
                  <w:r>
                    <w:rPr>
                      <w:rFonts w:ascii="仿宋_GB2312" w:hAnsi="仿宋_GB2312" w:cs="仿宋_GB2312" w:eastAsia="仿宋_GB2312"/>
                      <w:sz w:val="21"/>
                    </w:rPr>
                    <w:t>（</w:t>
                  </w:r>
                  <w:r>
                    <w:rPr>
                      <w:rFonts w:ascii="仿宋_GB2312" w:hAnsi="仿宋_GB2312" w:cs="仿宋_GB2312" w:eastAsia="仿宋_GB2312"/>
                      <w:sz w:val="21"/>
                    </w:rPr>
                    <w:t>3）现场响应：接到报修后24小时内派遣原厂认证合格的专业工程师到现场维修设备。</w:t>
                  </w:r>
                </w:p>
              </w:tc>
            </w:tr>
            <w:tr>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1"/>
                    </w:rPr>
                    <w:t>12</w:t>
                  </w:r>
                </w:p>
              </w:tc>
              <w:tc>
                <w:tcPr>
                  <w:tcW w:type="dxa" w:w="23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jc w:val="both"/>
                  </w:pPr>
                  <w:r>
                    <w:rPr>
                      <w:rFonts w:ascii="仿宋_GB2312" w:hAnsi="仿宋_GB2312" w:cs="仿宋_GB2312" w:eastAsia="仿宋_GB2312"/>
                      <w:sz w:val="21"/>
                    </w:rPr>
                    <w:t>（</w:t>
                  </w:r>
                  <w:r>
                    <w:rPr>
                      <w:rFonts w:ascii="仿宋_GB2312" w:hAnsi="仿宋_GB2312" w:cs="仿宋_GB2312" w:eastAsia="仿宋_GB2312"/>
                      <w:sz w:val="21"/>
                    </w:rPr>
                    <w:t>4）针对本项目应提供不少于2名的专业售后工程师，专业售后工程师须具备设备生产商相应的售后培训证书。</w:t>
                  </w:r>
                </w:p>
              </w:tc>
            </w:tr>
            <w:tr>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1"/>
                    </w:rPr>
                    <w:t>13</w:t>
                  </w:r>
                </w:p>
              </w:tc>
              <w:tc>
                <w:tcPr>
                  <w:tcW w:type="dxa" w:w="23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jc w:val="both"/>
                  </w:pPr>
                  <w:r>
                    <w:rPr>
                      <w:rFonts w:ascii="仿宋_GB2312" w:hAnsi="仿宋_GB2312" w:cs="仿宋_GB2312" w:eastAsia="仿宋_GB2312"/>
                      <w:sz w:val="21"/>
                    </w:rPr>
                    <w:t>开机率保证：服务期内设备开机率确保达到</w:t>
                  </w:r>
                  <w:r>
                    <w:rPr>
                      <w:rFonts w:ascii="仿宋_GB2312" w:hAnsi="仿宋_GB2312" w:cs="仿宋_GB2312" w:eastAsia="仿宋_GB2312"/>
                      <w:sz w:val="21"/>
                    </w:rPr>
                    <w:t>95％，按全年250个工作日计算。即全年正常开机达到238个工作日，停机时间不超过12个工作日，停机每超出1个工作日，维修服务合同期限自动延长2个工作日。</w:t>
                  </w:r>
                </w:p>
              </w:tc>
            </w:tr>
            <w:tr>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1"/>
                    </w:rPr>
                    <w:t>14</w:t>
                  </w:r>
                </w:p>
              </w:tc>
              <w:tc>
                <w:tcPr>
                  <w:tcW w:type="dxa" w:w="23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jc w:val="both"/>
                  </w:pPr>
                  <w:r>
                    <w:rPr>
                      <w:rFonts w:ascii="仿宋_GB2312" w:hAnsi="仿宋_GB2312" w:cs="仿宋_GB2312" w:eastAsia="仿宋_GB2312"/>
                      <w:sz w:val="21"/>
                    </w:rPr>
                    <w:t>可通过合法渠道获得、完整使用有效的原厂高级故障诊断维修钥匙，用于解决设备相应高级故障。</w:t>
                  </w:r>
                </w:p>
              </w:tc>
            </w:tr>
            <w:tr>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1"/>
                    </w:rPr>
                    <w:t>15</w:t>
                  </w:r>
                </w:p>
              </w:tc>
              <w:tc>
                <w:tcPr>
                  <w:tcW w:type="dxa" w:w="23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jc w:val="both"/>
                  </w:pPr>
                  <w:r>
                    <w:rPr>
                      <w:rFonts w:ascii="仿宋_GB2312" w:hAnsi="仿宋_GB2312" w:cs="仿宋_GB2312" w:eastAsia="仿宋_GB2312"/>
                      <w:sz w:val="21"/>
                    </w:rPr>
                    <w:t>服务期内向采购人提供纸质全年原厂维修、保养工作记录单。</w:t>
                  </w:r>
                </w:p>
              </w:tc>
            </w:tr>
          </w:tbl>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针对本项目应提供不少于2名的专业售后工程师，专业售后工程师须具备设备生产商相应的售后培训证书。</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供应商自行配备满足采购需求的相应设备。</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陕西省延安市宝塔区北大街43号延安大学附属医院</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甲方收到乙方当期全额发票后，一次性支付当期维保款项</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对日常的服务质量进行监督考核</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凡因本合同的签订、履行、解除、终止引起的或与本合同有关的任何争议，双方应通过友好协商解决，协商不成时，向延安市宝塔区人民法院提起诉讼解决。诉讼期间，双方应继续执行合同其余部分。</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财务状况证明.docx</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具有独立承担民事责任能力的法人或其他组织，提供合法有效的统一社会信用代码的营业执照（附年度报告书）或事业单位法人证书等国家规定的相关证明，自然人参与的提供其身份证明；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营业执照.docx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法定代表人授权书（附法定代表人身份证复印件）及被授权人身份证（法定代表人直接参加只须提供法定代表人身份证）；</w:t>
            </w:r>
          </w:p>
        </w:tc>
        <w:tc>
          <w:tcPr>
            <w:tcW w:type="dxa" w:w="1661"/>
          </w:tcPr>
          <w:p>
            <w:pPr>
              <w:pStyle w:val="null3"/>
            </w:pPr>
            <w:r>
              <w:rPr>
                <w:rFonts w:ascii="仿宋_GB2312" w:hAnsi="仿宋_GB2312" w:cs="仿宋_GB2312" w:eastAsia="仿宋_GB2312"/>
              </w:rPr>
              <w:t>法定代表人授权书及法定代表人身份证明.docx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提供2024年度11月至2025年度11月份任意一个月份的缴税凭证或依法免税的供应商应提供相关文件证明；</w:t>
            </w:r>
          </w:p>
        </w:tc>
        <w:tc>
          <w:tcPr>
            <w:tcW w:type="dxa" w:w="1661"/>
          </w:tcPr>
          <w:p>
            <w:pPr>
              <w:pStyle w:val="null3"/>
            </w:pPr>
            <w:r>
              <w:rPr>
                <w:rFonts w:ascii="仿宋_GB2312" w:hAnsi="仿宋_GB2312" w:cs="仿宋_GB2312" w:eastAsia="仿宋_GB2312"/>
              </w:rPr>
              <w:t>税收缴纳证明.docx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提供已缴纳的2024年11月份至2025年11月份任意一个月的社会保障资金缴存证明或社保机构开具的社会保险参保缴费情况证明；依法不需要缴纳社会保障资金的应提供相关文件证明；</w:t>
            </w:r>
          </w:p>
        </w:tc>
        <w:tc>
          <w:tcPr>
            <w:tcW w:type="dxa" w:w="1661"/>
          </w:tcPr>
          <w:p>
            <w:pPr>
              <w:pStyle w:val="null3"/>
            </w:pPr>
            <w:r>
              <w:rPr>
                <w:rFonts w:ascii="仿宋_GB2312" w:hAnsi="仿宋_GB2312" w:cs="仿宋_GB2312" w:eastAsia="仿宋_GB2312"/>
              </w:rPr>
              <w:t>社会保障资金缴纳证明.docx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财务审计报告</w:t>
            </w:r>
          </w:p>
        </w:tc>
        <w:tc>
          <w:tcPr>
            <w:tcW w:type="dxa" w:w="3322"/>
          </w:tcPr>
          <w:p>
            <w:pPr>
              <w:pStyle w:val="null3"/>
            </w:pPr>
            <w:r>
              <w:rPr>
                <w:rFonts w:ascii="仿宋_GB2312" w:hAnsi="仿宋_GB2312" w:cs="仿宋_GB2312" w:eastAsia="仿宋_GB2312"/>
              </w:rPr>
              <w:t>供应商须提供2023年度或2024年度的财务审计报告(成立时间至提交响应文件截止时间不足一年的可提供成立后任意时段的资产负债表)，或其基本存款账户开户银行出具的资信证明及基本存款账户开户信息；</w:t>
            </w:r>
          </w:p>
        </w:tc>
        <w:tc>
          <w:tcPr>
            <w:tcW w:type="dxa" w:w="1661"/>
          </w:tcPr>
          <w:p>
            <w:pPr>
              <w:pStyle w:val="null3"/>
            </w:pPr>
            <w:r>
              <w:rPr>
                <w:rFonts w:ascii="仿宋_GB2312" w:hAnsi="仿宋_GB2312" w:cs="仿宋_GB2312" w:eastAsia="仿宋_GB2312"/>
              </w:rPr>
              <w:t>财务状况证明.docx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提供《供应商信用记录书面声明函》（按格式填写）经查，供应商未被列入“信用中国”网站记录的“严重失信主体”或“重大税收违法失信主体”名单；不处于“中国政府采购网”记录的“政府采购严重违法失信行为信息记录名单”中的禁止参加政府采购活动期间，且参加政府采购活动近三年内，在经营活动中没有重大违法记录；</w:t>
            </w:r>
          </w:p>
        </w:tc>
        <w:tc>
          <w:tcPr>
            <w:tcW w:type="dxa" w:w="1661"/>
          </w:tcPr>
          <w:p>
            <w:pPr>
              <w:pStyle w:val="null3"/>
            </w:pPr>
            <w:r>
              <w:rPr>
                <w:rFonts w:ascii="仿宋_GB2312" w:hAnsi="仿宋_GB2312" w:cs="仿宋_GB2312" w:eastAsia="仿宋_GB2312"/>
              </w:rPr>
              <w:t>信用记录.docx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供应商须提供中小企业声明函</w:t>
            </w:r>
          </w:p>
        </w:tc>
        <w:tc>
          <w:tcPr>
            <w:tcW w:type="dxa" w:w="1661"/>
          </w:tcPr>
          <w:p>
            <w:pPr>
              <w:pStyle w:val="null3"/>
            </w:pPr>
            <w:r>
              <w:rPr>
                <w:rFonts w:ascii="仿宋_GB2312" w:hAnsi="仿宋_GB2312" w:cs="仿宋_GB2312" w:eastAsia="仿宋_GB2312"/>
              </w:rPr>
              <w:t>中小企业声明函</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供应商应具备《中华人民共和国政府采购法》第二十二条规定的条件</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供应商按照单一来源文件要求上传响应文件并进行电子签章</w:t>
            </w:r>
          </w:p>
        </w:tc>
        <w:tc>
          <w:tcPr>
            <w:tcW w:type="dxa" w:w="1661"/>
          </w:tcPr>
          <w:p>
            <w:pPr>
              <w:pStyle w:val="null3"/>
            </w:pPr>
            <w:r>
              <w:rPr>
                <w:rFonts w:ascii="仿宋_GB2312" w:hAnsi="仿宋_GB2312" w:cs="仿宋_GB2312" w:eastAsia="仿宋_GB2312"/>
              </w:rPr>
              <w:t>税收缴纳证明.docx 财务状况证明.docx 中小企业声明函 商务应答表 报价表 营业执照.docx 响应文件封面 信用记录.docx 法定代表人授权书及法定代表人身份证明.docx 残疾人福利性单位声明函 服务方案 供应商认为有必要说明的其他问题.docx 标的清单 响应函 组织机构、人员配备、设备配备.docx 监狱企业的证明文件 服务内容应答表.docx 社会保障资金缴纳证明.docx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供应商投标报价明显低于其他通过符合性审查投标人的投标报价，有可能影响产品质量或者不能诚信履约的，评标委员会应当要求其在合理的时间内在项目电子化交易系统中上传说明材料，必要时提交相关证明材料。供应商提交的相关证明材料，应当加盖供应商（法定名称）电子印章，在评标委员会要求的时间内通过项目电子化交易系统进行提交，否则提交的相关证明材料无效。供应商不能证明其投标报价合理性的，评标委员会应当将其响应文件作为无效处理。</w:t>
            </w:r>
          </w:p>
        </w:tc>
        <w:tc>
          <w:tcPr>
            <w:tcW w:type="dxa" w:w="1661"/>
          </w:tcPr>
          <w:p>
            <w:pPr>
              <w:pStyle w:val="null3"/>
            </w:pPr>
            <w:r>
              <w:rPr>
                <w:rFonts w:ascii="仿宋_GB2312" w:hAnsi="仿宋_GB2312" w:cs="仿宋_GB2312" w:eastAsia="仿宋_GB2312"/>
              </w:rPr>
              <w:t>标的清单 报价表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供应商按照单一来源文件要求上传响应文件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符合单一来源文件要求</w:t>
            </w:r>
          </w:p>
        </w:tc>
        <w:tc>
          <w:tcPr>
            <w:tcW w:type="dxa" w:w="1661"/>
          </w:tcPr>
          <w:p>
            <w:pPr>
              <w:pStyle w:val="null3"/>
            </w:pPr>
            <w:r>
              <w:rPr>
                <w:rFonts w:ascii="仿宋_GB2312" w:hAnsi="仿宋_GB2312" w:cs="仿宋_GB2312" w:eastAsia="仿宋_GB2312"/>
              </w:rPr>
              <w:t>标的清单 报价表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响应文件的语言及计量单位</w:t>
            </w:r>
          </w:p>
        </w:tc>
        <w:tc>
          <w:tcPr>
            <w:tcW w:type="dxa" w:w="3322"/>
          </w:tcPr>
          <w:p>
            <w:pPr>
              <w:pStyle w:val="null3"/>
            </w:pPr>
            <w:r>
              <w:rPr>
                <w:rFonts w:ascii="仿宋_GB2312" w:hAnsi="仿宋_GB2312" w:cs="仿宋_GB2312" w:eastAsia="仿宋_GB2312"/>
              </w:rPr>
              <w:t>均符合单一来源文件要求</w:t>
            </w:r>
          </w:p>
        </w:tc>
        <w:tc>
          <w:tcPr>
            <w:tcW w:type="dxa" w:w="1661"/>
          </w:tcPr>
          <w:p>
            <w:pPr>
              <w:pStyle w:val="null3"/>
            </w:pPr>
            <w:r>
              <w:rPr>
                <w:rFonts w:ascii="仿宋_GB2312" w:hAnsi="仿宋_GB2312" w:cs="仿宋_GB2312" w:eastAsia="仿宋_GB2312"/>
              </w:rPr>
              <w:t>标的清单 报价表 响应函</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详见附件：供应商认为有必要说明的其他问题.docx</w:t>
      </w:r>
    </w:p>
    <w:p>
      <w:pPr>
        <w:pStyle w:val="null3"/>
        <w:ind w:firstLine="960"/>
      </w:pPr>
      <w:r>
        <w:rPr>
          <w:rFonts w:ascii="仿宋_GB2312" w:hAnsi="仿宋_GB2312" w:cs="仿宋_GB2312" w:eastAsia="仿宋_GB2312"/>
        </w:rPr>
        <w:t>详见附件：服务内容应答表.docx</w:t>
      </w:r>
    </w:p>
    <w:p>
      <w:pPr>
        <w:pStyle w:val="null3"/>
        <w:ind w:firstLine="960"/>
      </w:pPr>
      <w:r>
        <w:rPr>
          <w:rFonts w:ascii="仿宋_GB2312" w:hAnsi="仿宋_GB2312" w:cs="仿宋_GB2312" w:eastAsia="仿宋_GB2312"/>
        </w:rPr>
        <w:t>详见附件：营业执照.docx</w:t>
      </w:r>
    </w:p>
    <w:p>
      <w:pPr>
        <w:pStyle w:val="null3"/>
        <w:ind w:firstLine="960"/>
      </w:pPr>
      <w:r>
        <w:rPr>
          <w:rFonts w:ascii="仿宋_GB2312" w:hAnsi="仿宋_GB2312" w:cs="仿宋_GB2312" w:eastAsia="仿宋_GB2312"/>
        </w:rPr>
        <w:t>详见附件：法定代表人授权书及法定代表人身份证明.docx</w:t>
      </w:r>
    </w:p>
    <w:p>
      <w:pPr>
        <w:pStyle w:val="null3"/>
        <w:ind w:firstLine="960"/>
      </w:pPr>
      <w:r>
        <w:rPr>
          <w:rFonts w:ascii="仿宋_GB2312" w:hAnsi="仿宋_GB2312" w:cs="仿宋_GB2312" w:eastAsia="仿宋_GB2312"/>
        </w:rPr>
        <w:t>详见附件：税收缴纳证明.docx</w:t>
      </w:r>
    </w:p>
    <w:p>
      <w:pPr>
        <w:pStyle w:val="null3"/>
        <w:ind w:firstLine="960"/>
      </w:pPr>
      <w:r>
        <w:rPr>
          <w:rFonts w:ascii="仿宋_GB2312" w:hAnsi="仿宋_GB2312" w:cs="仿宋_GB2312" w:eastAsia="仿宋_GB2312"/>
        </w:rPr>
        <w:t>详见附件：社会保障资金缴纳证明.docx</w:t>
      </w:r>
    </w:p>
    <w:p>
      <w:pPr>
        <w:pStyle w:val="null3"/>
        <w:ind w:firstLine="960"/>
      </w:pPr>
      <w:r>
        <w:rPr>
          <w:rFonts w:ascii="仿宋_GB2312" w:hAnsi="仿宋_GB2312" w:cs="仿宋_GB2312" w:eastAsia="仿宋_GB2312"/>
        </w:rPr>
        <w:t>详见附件：财务状况证明.docx</w:t>
      </w:r>
    </w:p>
    <w:p>
      <w:pPr>
        <w:pStyle w:val="null3"/>
        <w:ind w:firstLine="960"/>
      </w:pPr>
      <w:r>
        <w:rPr>
          <w:rFonts w:ascii="仿宋_GB2312" w:hAnsi="仿宋_GB2312" w:cs="仿宋_GB2312" w:eastAsia="仿宋_GB2312"/>
        </w:rPr>
        <w:t>详见附件：信用记录.docx</w:t>
      </w:r>
    </w:p>
    <w:p>
      <w:pPr>
        <w:pStyle w:val="null3"/>
        <w:ind w:firstLine="960"/>
      </w:pPr>
      <w:r>
        <w:rPr>
          <w:rFonts w:ascii="仿宋_GB2312" w:hAnsi="仿宋_GB2312" w:cs="仿宋_GB2312" w:eastAsia="仿宋_GB2312"/>
        </w:rPr>
        <w:t>详见附件：组织机构、人员配备、设备配备.docx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详见附件：合同通用.docx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