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686AF">
      <w:pPr>
        <w:jc w:val="center"/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bookmarkStart w:id="0" w:name="OLE_LINK15"/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eastAsia="zh-CN"/>
        </w:rPr>
        <w:t>服务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进度</w:t>
      </w:r>
      <w:bookmarkStart w:id="1" w:name="_GoBack"/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保证措施</w:t>
      </w:r>
      <w:bookmarkEnd w:id="1"/>
      <w:bookmarkEnd w:id="0"/>
    </w:p>
    <w:p w14:paraId="56B72028">
      <w:pPr>
        <w:pStyle w:val="4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</w:pPr>
    </w:p>
    <w:p w14:paraId="06DD8E7A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  <w:t>根据供应商针对本项目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服务</w:t>
      </w: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  <w:t>进度保证措施，由磋商小组根据上述内容横向比较后综合赋分</w:t>
      </w: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：</w:t>
      </w:r>
    </w:p>
    <w:p w14:paraId="30608D7E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服务方案科学合理、满足项目要求，合理性、针对性强得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5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649E6F36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服务方案基本可行，合理性、针对性稍有欠缺的得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3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38C61F85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服务方案有部分缺漏，合理性、针对性较差得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1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1D47729B">
      <w:pPr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未提供不得分。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8B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2025-11-21T08:47:17Z</dcterms:created>
  <dc:creator>Administrator</dc:creator>
  <cp:lastModifiedBy>M</cp:lastModifiedBy>
  <dcterms:modified xsi:type="dcterms:W3CDTF">2025-11-21T08:47:31Z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2F765B223F964E72AA733D39150A54D1_12</vt:lpwstr>
  </property>
</Properties>
</file>