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版本号：SXWZ2025ZB-YXY-27920251121001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教育网专线接入服务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SXWZ2025ZB-YXY-279</w:t>
      </w:r>
      <w:r>
        <w:br/>
      </w:r>
      <w:r>
        <w:br/>
      </w:r>
      <w:r>
        <w:br/>
      </w:r>
    </w:p>
    <w:p>
      <w:pPr>
        <w:pStyle w:val="null3"/>
        <w:jc w:val="center"/>
        <w:outlineLvl w:val="5"/>
      </w:pPr>
      <w:r>
        <w:rPr>
          <w:rFonts w:ascii="仿宋_GB2312" w:hAnsi="仿宋_GB2312" w:cs="仿宋_GB2312" w:eastAsia="仿宋_GB2312"/>
          <w:sz w:val="15"/>
          <w:b/>
        </w:rPr>
        <w:t>西安医学院</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教育网专线接入服务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SXWZ2025ZB-YXY-279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教育网专线接入服务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西安医学院教育网专线接入服务项目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采购包1（西安医学院教育网专线接入服务项目）：属于专门面向中小企业采购。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2、法定代表人证明及法定代表人授权委托书：非法定代表人参加投标的，须提供法定代表人授权委托书及被授权人身份证原件；法定代表人参加投标时,只须提供法定代表人证明书。</w:t>
      </w:r>
    </w:p>
    <w:p>
      <w:pPr>
        <w:pStyle w:val="null3"/>
      </w:pPr>
      <w:r>
        <w:rPr>
          <w:rFonts w:ascii="仿宋_GB2312" w:hAnsi="仿宋_GB2312" w:cs="仿宋_GB2312" w:eastAsia="仿宋_GB2312"/>
        </w:rPr>
        <w:t>3、财务状况：具有良好的商业信誉和健全的财务会计制度，提供2024年度经审计的财务报告（注册会计师统一监管平台申请赋码可查询）或其开标前六个月内其基本账户银行出具的资信证明（附开户许可证或基本账户证明）</w:t>
      </w:r>
    </w:p>
    <w:p>
      <w:pPr>
        <w:pStyle w:val="null3"/>
      </w:pPr>
      <w:r>
        <w:rPr>
          <w:rFonts w:ascii="仿宋_GB2312" w:hAnsi="仿宋_GB2312" w:cs="仿宋_GB2312" w:eastAsia="仿宋_GB2312"/>
        </w:rPr>
        <w:t>4、税收缴纳证明：提供2024年11月至今已缴纳的至少一个月的纳税证明或完税证明（至少包含增值税或企业所得税）；依法免税的单位应提供相关证明材料；（以税款所属日期为准）</w:t>
      </w:r>
    </w:p>
    <w:p>
      <w:pPr>
        <w:pStyle w:val="null3"/>
      </w:pPr>
      <w:r>
        <w:rPr>
          <w:rFonts w:ascii="仿宋_GB2312" w:hAnsi="仿宋_GB2312" w:cs="仿宋_GB2312" w:eastAsia="仿宋_GB2312"/>
        </w:rPr>
        <w:t>5、社会保障资金缴纳证明：提供2024年11月至今已缴纳的至少一个月的社保缴费凭据或社保机构开具的社会保险参保缴费情况证明（依法不需要缴纳社会保障资金的供应商应提供相关证明）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7、特定资格：供应商须提供增值电信业务经营许可证。</w:t>
      </w:r>
    </w:p>
    <w:p>
      <w:pPr>
        <w:pStyle w:val="null3"/>
      </w:pPr>
      <w:r>
        <w:rPr>
          <w:rFonts w:ascii="仿宋_GB2312" w:hAnsi="仿宋_GB2312" w:cs="仿宋_GB2312" w:eastAsia="仿宋_GB2312"/>
        </w:rPr>
        <w:t>8、本项目专门面向中小企业采购：供应商提供中小企业声明函。</w:t>
      </w:r>
    </w:p>
    <w:p>
      <w:pPr>
        <w:pStyle w:val="null3"/>
      </w:pPr>
      <w:r>
        <w:rPr>
          <w:rFonts w:ascii="仿宋_GB2312" w:hAnsi="仿宋_GB2312" w:cs="仿宋_GB2312" w:eastAsia="仿宋_GB2312"/>
        </w:rPr>
        <w:t>9、本项目不接受联合体参与：本项目不接受联合体参与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招标二部 崔方明 许芳芳 陈晓航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依据为合同文本、招标文件、投标文件以及现行的国家标准或国家行政部门颁布的法律法规、规章制度等.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我校自2006年7月接入中国教育和科研计算机网。作为教育网成员高校，我校权威域名（xiyi.edu.cn）,IPv4、IPv6地址、IPv4/IPv6互联网接入均需依靠教育网为师生提供服务。为了保障学校现有教育网服务的连续性和稳定性，以及积极推进落实陕西省教育厅文件要求的下一代互联网IPv6规模化部署工作的开展，需继续采购教育网带宽服务为校内师生提供网络接入、校内各业务应用系统访问（官网、邮件系统、教务系统等）、IPv6资源访问、国际数据库访问等服务，同时该出口与学校公网运营商出口互为备份，更好的保障学校的网络运行及业务访问不间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西安医学院教育网专线接入服务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标的名称：西安医学院教育网专线接入服务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3.2.2 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sz w:val="21"/>
                <w:color w:val="000000"/>
              </w:rPr>
              <w:t>1、开通教育网独享带宽：IPv4 ≥</w:t>
            </w:r>
            <w:r>
              <w:rPr>
                <w:rFonts w:ascii="仿宋_GB2312" w:hAnsi="仿宋_GB2312" w:cs="仿宋_GB2312" w:eastAsia="仿宋_GB2312"/>
                <w:sz w:val="21"/>
                <w:color w:val="000000"/>
              </w:rPr>
              <w:t>350</w:t>
            </w:r>
            <w:r>
              <w:rPr>
                <w:rFonts w:ascii="仿宋_GB2312" w:hAnsi="仿宋_GB2312" w:cs="仿宋_GB2312" w:eastAsia="仿宋_GB2312"/>
                <w:sz w:val="21"/>
                <w:color w:val="000000"/>
              </w:rPr>
              <w:t>Mbps，IPv6带宽与IPv4带宽1：1配比，采用千兆端口接入；</w:t>
            </w:r>
          </w:p>
          <w:p>
            <w:pPr>
              <w:pStyle w:val="null3"/>
            </w:pPr>
            <w:r>
              <w:rPr>
                <w:rFonts w:ascii="仿宋_GB2312" w:hAnsi="仿宋_GB2312" w:cs="仿宋_GB2312" w:eastAsia="仿宋_GB2312"/>
                <w:sz w:val="21"/>
                <w:color w:val="000000"/>
              </w:rPr>
              <w:t>2、提供</w:t>
            </w:r>
            <w:r>
              <w:rPr>
                <w:rFonts w:ascii="仿宋_GB2312" w:hAnsi="仿宋_GB2312" w:cs="仿宋_GB2312" w:eastAsia="仿宋_GB2312"/>
                <w:sz w:val="21"/>
                <w:color w:val="000000"/>
              </w:rPr>
              <w:t>XXX</w:t>
            </w:r>
            <w:r>
              <w:rPr>
                <w:rFonts w:ascii="仿宋_GB2312" w:hAnsi="仿宋_GB2312" w:cs="仿宋_GB2312" w:eastAsia="仿宋_GB2312"/>
                <w:sz w:val="21"/>
                <w:color w:val="000000"/>
              </w:rPr>
              <w:t>.edu.cn域名；</w:t>
            </w:r>
          </w:p>
          <w:p>
            <w:pPr>
              <w:pStyle w:val="null3"/>
            </w:pPr>
            <w:r>
              <w:rPr>
                <w:rFonts w:ascii="仿宋_GB2312" w:hAnsi="仿宋_GB2312" w:cs="仿宋_GB2312" w:eastAsia="仿宋_GB2312"/>
                <w:sz w:val="21"/>
                <w:color w:val="000000"/>
              </w:rPr>
              <w:t>3、提供教育网IPv4地址不少于84个地址；</w:t>
            </w:r>
          </w:p>
          <w:p>
            <w:pPr>
              <w:pStyle w:val="null3"/>
            </w:pPr>
            <w:r>
              <w:rPr>
                <w:rFonts w:ascii="仿宋_GB2312" w:hAnsi="仿宋_GB2312" w:cs="仿宋_GB2312" w:eastAsia="仿宋_GB2312"/>
                <w:sz w:val="21"/>
                <w:color w:val="000000"/>
              </w:rPr>
              <w:t>4、提供教育网/48位IPv6地址，并提供调试服务；</w:t>
            </w:r>
          </w:p>
          <w:p>
            <w:pPr>
              <w:pStyle w:val="null3"/>
            </w:pPr>
            <w:r>
              <w:rPr>
                <w:rFonts w:ascii="仿宋_GB2312" w:hAnsi="仿宋_GB2312" w:cs="仿宋_GB2312" w:eastAsia="仿宋_GB2312"/>
                <w:sz w:val="21"/>
                <w:color w:val="000000"/>
              </w:rPr>
              <w:t>5、学校教育网出口上联至教育网</w:t>
            </w:r>
            <w:r>
              <w:rPr>
                <w:rFonts w:ascii="仿宋_GB2312" w:hAnsi="仿宋_GB2312" w:cs="仿宋_GB2312" w:eastAsia="仿宋_GB2312"/>
                <w:sz w:val="21"/>
                <w:color w:val="000000"/>
              </w:rPr>
              <w:t>主干</w:t>
            </w:r>
            <w:r>
              <w:rPr>
                <w:rFonts w:ascii="仿宋_GB2312" w:hAnsi="仿宋_GB2312" w:cs="仿宋_GB2312" w:eastAsia="仿宋_GB2312"/>
                <w:sz w:val="21"/>
                <w:color w:val="000000"/>
              </w:rPr>
              <w:t>节点，</w:t>
            </w:r>
            <w:r>
              <w:rPr>
                <w:rFonts w:ascii="仿宋_GB2312" w:hAnsi="仿宋_GB2312" w:cs="仿宋_GB2312" w:eastAsia="仿宋_GB2312"/>
                <w:sz w:val="21"/>
                <w:color w:val="000000"/>
              </w:rPr>
              <w:t>最大限度的保障学校</w:t>
            </w:r>
            <w:r>
              <w:rPr>
                <w:rFonts w:ascii="仿宋_GB2312" w:hAnsi="仿宋_GB2312" w:cs="仿宋_GB2312" w:eastAsia="仿宋_GB2312"/>
                <w:sz w:val="21"/>
                <w:color w:val="000000"/>
              </w:rPr>
              <w:t>教育网带宽的独享和稳定；</w:t>
            </w:r>
          </w:p>
          <w:p>
            <w:pPr>
              <w:pStyle w:val="null3"/>
            </w:pPr>
            <w:r>
              <w:rPr>
                <w:rFonts w:ascii="仿宋_GB2312" w:hAnsi="仿宋_GB2312" w:cs="仿宋_GB2312" w:eastAsia="仿宋_GB2312"/>
                <w:sz w:val="21"/>
                <w:color w:val="000000"/>
              </w:rPr>
              <w:t>6、国际出口访问要求主流国际期刊文献网站访问延迟低于255ms,丢包率低于3%；主流国际文献期刊包括如IEEE:www.ieee.org、elsevier:www.sciencedirect.com等，提供测试数据截图；</w:t>
            </w:r>
          </w:p>
          <w:p>
            <w:pPr>
              <w:pStyle w:val="null3"/>
            </w:pPr>
            <w:r>
              <w:rPr>
                <w:rFonts w:ascii="仿宋_GB2312" w:hAnsi="仿宋_GB2312" w:cs="仿宋_GB2312" w:eastAsia="仿宋_GB2312"/>
                <w:sz w:val="21"/>
                <w:color w:val="000000"/>
              </w:rPr>
              <w:t>7、提供1年免费质保服务。售后响应时间不超过</w:t>
            </w:r>
            <w:r>
              <w:rPr>
                <w:rFonts w:ascii="仿宋_GB2312" w:hAnsi="仿宋_GB2312" w:cs="仿宋_GB2312" w:eastAsia="仿宋_GB2312"/>
                <w:sz w:val="21"/>
                <w:color w:val="000000"/>
              </w:rPr>
              <w:t>15分钟</w:t>
            </w:r>
            <w:r>
              <w:rPr>
                <w:rFonts w:ascii="仿宋_GB2312" w:hAnsi="仿宋_GB2312" w:cs="仿宋_GB2312" w:eastAsia="仿宋_GB2312"/>
                <w:sz w:val="21"/>
                <w:color w:val="000000"/>
              </w:rPr>
              <w:t>，故障申报后</w:t>
            </w:r>
            <w:r>
              <w:rPr>
                <w:rFonts w:ascii="仿宋_GB2312" w:hAnsi="仿宋_GB2312" w:cs="仿宋_GB2312" w:eastAsia="仿宋_GB2312"/>
                <w:sz w:val="21"/>
                <w:color w:val="000000"/>
              </w:rPr>
              <w:t>2小时到达现场，4小时解决故障（不可抗力除外）。</w:t>
            </w:r>
          </w:p>
          <w:p>
            <w:pPr>
              <w:pStyle w:val="null3"/>
            </w:pPr>
            <w:r>
              <w:rPr>
                <w:rFonts w:ascii="仿宋_GB2312" w:hAnsi="仿宋_GB2312" w:cs="仿宋_GB2312" w:eastAsia="仿宋_GB2312"/>
                <w:sz w:val="21"/>
                <w:color w:val="000000"/>
              </w:rPr>
              <w:t>8、协助学校开通CARSI、eduroam等教育网增值服务。</w:t>
            </w:r>
          </w:p>
          <w:p>
            <w:pPr>
              <w:pStyle w:val="null3"/>
            </w:pPr>
            <w:r>
              <w:rPr>
                <w:rFonts w:ascii="仿宋_GB2312" w:hAnsi="仿宋_GB2312" w:cs="仿宋_GB2312" w:eastAsia="仿宋_GB2312"/>
                <w:sz w:val="21"/>
                <w:color w:val="000000"/>
              </w:rPr>
              <w:t>9、协助学校网络改造优化工作，提供免费技术支撑保障，全力配合学校做好校园网出口优化工作。</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、教育网接口提供商（投标方）须具备国家</w:t>
            </w:r>
            <w:r>
              <w:rPr>
                <w:rFonts w:ascii="仿宋_GB2312" w:hAnsi="仿宋_GB2312" w:cs="仿宋_GB2312" w:eastAsia="仿宋_GB2312"/>
                <w:sz w:val="21"/>
                <w:color w:val="000000"/>
              </w:rPr>
              <w:t>增值</w:t>
            </w:r>
            <w:r>
              <w:rPr>
                <w:rFonts w:ascii="仿宋_GB2312" w:hAnsi="仿宋_GB2312" w:cs="仿宋_GB2312" w:eastAsia="仿宋_GB2312"/>
                <w:sz w:val="21"/>
                <w:color w:val="000000"/>
              </w:rPr>
              <w:t>电信业务经营许可证资质。</w:t>
            </w:r>
          </w:p>
          <w:p>
            <w:pPr>
              <w:pStyle w:val="null3"/>
            </w:pPr>
            <w:r>
              <w:rPr>
                <w:rFonts w:ascii="仿宋_GB2312" w:hAnsi="仿宋_GB2312" w:cs="仿宋_GB2312" w:eastAsia="仿宋_GB2312"/>
                <w:sz w:val="21"/>
              </w:rPr>
              <w:t>11、</w:t>
            </w:r>
            <w:r>
              <w:rPr>
                <w:rFonts w:ascii="仿宋_GB2312" w:hAnsi="仿宋_GB2312" w:cs="仿宋_GB2312" w:eastAsia="仿宋_GB2312"/>
                <w:sz w:val="21"/>
                <w:color w:val="000000"/>
              </w:rPr>
              <w:t>服务事项的验收（考核）标准</w:t>
            </w:r>
            <w:r>
              <w:rPr>
                <w:rFonts w:ascii="仿宋_GB2312" w:hAnsi="仿宋_GB2312" w:cs="仿宋_GB2312" w:eastAsia="仿宋_GB2312"/>
                <w:sz w:val="21"/>
                <w:color w:val="000000"/>
              </w:rPr>
              <w:t>：</w:t>
            </w:r>
          </w:p>
          <w:p>
            <w:pPr>
              <w:pStyle w:val="null3"/>
              <w:ind w:firstLine="400"/>
            </w:pPr>
            <w:r>
              <w:rPr>
                <w:rFonts w:ascii="仿宋_GB2312" w:hAnsi="仿宋_GB2312" w:cs="仿宋_GB2312" w:eastAsia="仿宋_GB2312"/>
                <w:sz w:val="21"/>
              </w:rPr>
              <w:t>（1）教育网网络正常访问，确保学校购买的海外期刊图书资源的访问质量良好；</w:t>
            </w:r>
          </w:p>
          <w:p>
            <w:pPr>
              <w:pStyle w:val="null3"/>
              <w:ind w:firstLine="400"/>
            </w:pPr>
            <w:r>
              <w:rPr>
                <w:rFonts w:ascii="仿宋_GB2312" w:hAnsi="仿宋_GB2312" w:cs="仿宋_GB2312" w:eastAsia="仿宋_GB2312"/>
                <w:sz w:val="21"/>
              </w:rPr>
              <w:t>（2）保证用户带宽服务畅通，至全国主干网丢包率低于 0.1%，至国际路由丢包率低于3%。</w:t>
            </w:r>
          </w:p>
          <w:p>
            <w:pPr>
              <w:pStyle w:val="null3"/>
            </w:pPr>
            <w:r>
              <w:rPr>
                <w:rFonts w:ascii="仿宋_GB2312" w:hAnsi="仿宋_GB2312" w:cs="仿宋_GB2312" w:eastAsia="仿宋_GB2312"/>
                <w:sz w:val="21"/>
                <w:b/>
              </w:rPr>
              <w:t>3.2.3人员配置要求</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提供满足本项目服务需求的人员配置</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售后服务：投标人指派一名技术人员，专门负责售后服务，</w:t>
            </w:r>
            <w:r>
              <w:rPr>
                <w:rFonts w:ascii="仿宋_GB2312" w:hAnsi="仿宋_GB2312" w:cs="仿宋_GB2312" w:eastAsia="仿宋_GB2312"/>
                <w:sz w:val="21"/>
              </w:rPr>
              <w:t>售后响应时间不超过</w:t>
            </w:r>
            <w:r>
              <w:rPr>
                <w:rFonts w:ascii="仿宋_GB2312" w:hAnsi="仿宋_GB2312" w:cs="仿宋_GB2312" w:eastAsia="仿宋_GB2312"/>
                <w:sz w:val="21"/>
              </w:rPr>
              <w:t>15分钟，</w:t>
            </w:r>
            <w:r>
              <w:rPr>
                <w:rFonts w:ascii="仿宋_GB2312" w:hAnsi="仿宋_GB2312" w:cs="仿宋_GB2312" w:eastAsia="仿宋_GB2312"/>
                <w:sz w:val="21"/>
              </w:rPr>
              <w:t>在接到采购人故障报修后</w:t>
            </w:r>
            <w:r>
              <w:rPr>
                <w:rFonts w:ascii="仿宋_GB2312" w:hAnsi="仿宋_GB2312" w:cs="仿宋_GB2312" w:eastAsia="仿宋_GB2312"/>
                <w:sz w:val="21"/>
              </w:rPr>
              <w:t xml:space="preserve">2小时内到达现场处理故障，在4小时内解决故障。4小时内故障无法解决的，提供不低于投标设备性能的原厂商备用设备，并承担相关更换的费用；乙方承诺每学期开展一次定期巡检。3.提供本项目采购产品的售后专业支持和服务，包含服务内容、响应时间、售后服务技术标准等内容，对涉及到的相关整修工程承担保修责任。4.如发生产品故障等紧急情况，应及时响应修复，或提供备品备件产品或采取应急措施，以确保采购人正常使用。                          </w:t>
            </w:r>
          </w:p>
          <w:p>
            <w:pPr>
              <w:pStyle w:val="null3"/>
            </w:pPr>
            <w:r>
              <w:rPr>
                <w:rFonts w:ascii="仿宋_GB2312" w:hAnsi="仿宋_GB2312" w:cs="仿宋_GB2312" w:eastAsia="仿宋_GB2312"/>
                <w:sz w:val="21"/>
                <w:b/>
              </w:rPr>
              <w:t>3.2.4 设施设备要求</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00"/>
            </w:pPr>
            <w:r>
              <w:rPr>
                <w:rFonts w:ascii="仿宋_GB2312" w:hAnsi="仿宋_GB2312" w:cs="仿宋_GB2312" w:eastAsia="仿宋_GB2312"/>
                <w:sz w:val="21"/>
                <w:color w:val="000000"/>
              </w:rPr>
              <w:t>提供满足本项目服务需求的设施设备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接线设备，线材，辅料。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1）售后服务：投标人指派一名技术人员，专门负责售后服务，售后响应时间不超过15分钟，在接到采购人故障报修后2小时内到达现场处理故障，在4小时内解决故障。4小时内故障无法解决的，提供不低于投标设备性能的原厂商备用设备，并承担相关更换的费用；乙方承诺每学期开展一次定期巡检。3.提供本项目采购产品的售后专业支持和服务，包含服务内容、响应时间、售后服务技术标准等内容，对涉及到的相关整修工程承担保修责任。4.如发生产品故障等紧急情况，应及时响应修复，或提供备品备件产品或采取应急措施，以确保采购人正常使用。</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提供满足本项目服务需求的设施设备：接线设备，线材，辅料。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本项目合同期满前，采购人将对成交供应商当年的服务质量、工作内容等进行考核，根据服务考评情况及服务满意程度，采购人有权决定是否续签合同，累计合同履行期限不超过三年。交付期：自合同签订之日起60日历日完成安装调试。质保期：自项目验收合格后供应商提供 一 年免费保修服务。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1、验收依据：招标人根据合同要求进行验收，验收依据为合同文本、招标文件、投标文件以及现行的国家标准或国家行政部门颁布的法律法规、规章制度等；没有国家标准的，可以参考行业标准。 2、投标人在货物安装调式完毕后，整理项目过程资料并装订成册，书面通知采购人进行验收；招标人在检查货物原产地、型号、规格、配置符合合同要求后，由供应商负责安装调试、招标人负责技术验收。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质保期：自项目验收合格后供应商提供 一 年免费保修服务。 交付期：自合同签订之日起60日历日完成安装调试。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非法定代表人参加投标的，须提供法定代表人授权委托书及被授权人身份证原件；法定代表人参加投标时,只须提供法定代表人证明书。</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具有良好的商业信誉和健全的财务会计制度，提供2024年度经审计的财务报告（注册会计师统一监管平台申请赋码可查询）或其开标前六个月内其基本账户银行出具的资信证明（附开户许可证或基本账户证明）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提供2024年11月至今已缴纳的至少一个月的纳税证明或完税证明（至少包含增值税或企业所得税）；依法免税的单位应提供相关证明材料；（以税款所属日期为准）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提供2024年11月至今已缴纳的至少一个月的社保缴费凭据或社保机构开具的社会保险参保缴费情况证明（依法不需要缴纳社会保障资金的供应商应提供相关证明）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供应商须提供增值电信业务经营许可证。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响应函 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响应函 供应商资格证明资料.docx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响应报价是否超过预算或文件中标明的最高限价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服务期是否满足单一来源文件要求</w:t>
            </w:r>
          </w:p>
        </w:tc>
        <w:tc>
          <w:tcPr>
            <w:tcW w:type="dxa" w:w="1661"/>
          </w:tcPr>
          <w:p>
            <w:pPr>
              <w:pStyle w:val="null3"/>
            </w:pPr>
            <w:r>
              <w:rPr>
                <w:rFonts w:ascii="仿宋_GB2312" w:hAnsi="仿宋_GB2312" w:cs="仿宋_GB2312" w:eastAsia="仿宋_GB2312"/>
              </w:rPr>
              <w:t>响应一览表.docx 商务和技术响应偏离表.docx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响应文件签字、盖章是否满足单一来源文件要求</w:t>
            </w:r>
          </w:p>
        </w:tc>
        <w:tc>
          <w:tcPr>
            <w:tcW w:type="dxa" w:w="1661"/>
          </w:tcPr>
          <w:p>
            <w:pPr>
              <w:pStyle w:val="null3"/>
            </w:pPr>
            <w:r>
              <w:rPr>
                <w:rFonts w:ascii="仿宋_GB2312" w:hAnsi="仿宋_GB2312" w:cs="仿宋_GB2312" w:eastAsia="仿宋_GB2312"/>
              </w:rPr>
              <w:t>响应保证金.docx 中小企业声明函 报价表 供应商认为其他有必要说明的其他问题.docx 供应商承诺书.docx 响应文件封面 响应一览表.docx 分项报价表.docx 合同条款响应说明.docx 残疾人福利性单位声明函 服务方案 标的清单 商务和技术响应偏离表.docx 响应函 供应商资格证明资料.docx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供应商投标保证金是否符合招标文件要求</w:t>
            </w:r>
          </w:p>
        </w:tc>
        <w:tc>
          <w:tcPr>
            <w:tcW w:type="dxa" w:w="1661"/>
          </w:tcPr>
          <w:p>
            <w:pPr>
              <w:pStyle w:val="null3"/>
            </w:pPr>
            <w:r>
              <w:rPr>
                <w:rFonts w:ascii="仿宋_GB2312" w:hAnsi="仿宋_GB2312" w:cs="仿宋_GB2312" w:eastAsia="仿宋_GB2312"/>
              </w:rPr>
              <w:t>响应保证金.docx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采购需求响应齐全、无遗漏</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合同条款响应说明.docx 商务和技术响应偏离表.docx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是否符合法律法规和谈判文件规定的其他实质性要求</w:t>
            </w:r>
          </w:p>
        </w:tc>
        <w:tc>
          <w:tcPr>
            <w:tcW w:type="dxa" w:w="1661"/>
          </w:tcPr>
          <w:p>
            <w:pPr>
              <w:pStyle w:val="null3"/>
            </w:pPr>
            <w:r>
              <w:rPr>
                <w:rFonts w:ascii="仿宋_GB2312" w:hAnsi="仿宋_GB2312" w:cs="仿宋_GB2312" w:eastAsia="仿宋_GB2312"/>
              </w:rPr>
              <w:t>响应一览表.docx 响应保证金.docx 分项报价表.docx 合同条款响应说明.docx 中小企业声明函 标的清单 商务和技术响应偏离表.docx 报价表 响应函 供应商资格证明资料.docx 供应商承诺书.docx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详见附件：响应保证金.docx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详见附件：合同条款响应说明.docx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