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版本号：ZMZB2025YDDX-44820251122001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毫米波测量与存储系统采购项目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ZMZB2025YDDX-448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毫米波测量与存储系统采购项目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ZMZB2025YDDX-448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毫米波测量与存储系统采购项目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毫米波测量与存储系统采购项目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毫米波测量与存储系统采购项目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560,000.00</w:t>
      </w:r>
    </w:p>
    <w:p>
      <w:pPr>
        <w:pStyle w:val="null3"/>
      </w:pPr>
      <w:r>
        <w:rPr>
          <w:rFonts w:ascii="仿宋_GB2312" w:hAnsi="仿宋_GB2312" w:cs="仿宋_GB2312" w:eastAsia="仿宋_GB2312"/>
        </w:rPr>
        <w:t>采购包最高限价（元）: 560,000.00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毫米波测量与存储系统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560,000.00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标的名称：毫米波测量与存储系统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技术标准：</w:t>
            </w:r>
          </w:p>
          <w:p>
            <w:pPr>
              <w:pStyle w:val="null3"/>
            </w:pPr>
            <w:r>
              <w:rPr>
                <w:rFonts w:ascii="仿宋_GB2312" w:hAnsi="仿宋_GB2312" w:cs="仿宋_GB2312" w:eastAsia="仿宋_GB2312"/>
              </w:rPr>
              <w:t>1.采集频率范围：9kHz~26.5GHz，射频前端为超外差架构，镜频抑制大于等于100dB</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2.最大抗烧毁功率：≥20dBm</w:t>
            </w:r>
          </w:p>
          <w:p>
            <w:pPr>
              <w:pStyle w:val="null3"/>
            </w:pPr>
            <w:r>
              <w:rPr>
                <w:rFonts w:ascii="仿宋_GB2312" w:hAnsi="仿宋_GB2312" w:cs="仿宋_GB2312" w:eastAsia="仿宋_GB2312"/>
              </w:rPr>
              <w:t>3.底噪：</w:t>
            </w:r>
            <w:r>
              <w:rPr>
                <w:rFonts w:ascii="仿宋_GB2312" w:hAnsi="仿宋_GB2312" w:cs="仿宋_GB2312" w:eastAsia="仿宋_GB2312"/>
              </w:rPr>
              <w:t>≤</w:t>
            </w:r>
            <w:r>
              <w:rPr>
                <w:rFonts w:ascii="仿宋_GB2312" w:hAnsi="仿宋_GB2312" w:cs="仿宋_GB2312" w:eastAsia="仿宋_GB2312"/>
              </w:rPr>
              <w:t>-150dBm/Hz（全频段，不开预放），</w:t>
            </w:r>
            <w:r>
              <w:rPr>
                <w:rFonts w:ascii="仿宋_GB2312" w:hAnsi="仿宋_GB2312" w:cs="仿宋_GB2312" w:eastAsia="仿宋_GB2312"/>
              </w:rPr>
              <w:t>≤</w:t>
            </w:r>
            <w:r>
              <w:rPr>
                <w:rFonts w:ascii="仿宋_GB2312" w:hAnsi="仿宋_GB2312" w:cs="仿宋_GB2312" w:eastAsia="仿宋_GB2312"/>
              </w:rPr>
              <w:t>-160dBm/Hz（典型值，开预放）</w:t>
            </w:r>
          </w:p>
          <w:p>
            <w:pPr>
              <w:pStyle w:val="null3"/>
            </w:pPr>
            <w:r>
              <w:rPr>
                <w:rFonts w:ascii="仿宋_GB2312" w:hAnsi="仿宋_GB2312" w:cs="仿宋_GB2312" w:eastAsia="仿宋_GB2312"/>
              </w:rPr>
              <w:t>4.相位噪声：≤ -120dBc/Hz@10kHz（常温， 1GHz）</w:t>
            </w:r>
          </w:p>
          <w:p>
            <w:pPr>
              <w:pStyle w:val="null3"/>
            </w:pPr>
            <w:r>
              <w:rPr>
                <w:rFonts w:ascii="仿宋_GB2312" w:hAnsi="仿宋_GB2312" w:cs="仿宋_GB2312" w:eastAsia="仿宋_GB2312"/>
              </w:rPr>
              <w:t>5.实时带宽：≥600MHz</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6.硬盘空间（标称）：</w:t>
            </w:r>
            <w:r>
              <w:rPr>
                <w:rFonts w:ascii="仿宋_GB2312" w:hAnsi="仿宋_GB2312" w:cs="仿宋_GB2312" w:eastAsia="仿宋_GB2312"/>
              </w:rPr>
              <w:t>≥8</w:t>
            </w:r>
            <w:r>
              <w:rPr>
                <w:rFonts w:ascii="仿宋_GB2312" w:hAnsi="仿宋_GB2312" w:cs="仿宋_GB2312" w:eastAsia="仿宋_GB2312"/>
              </w:rPr>
              <w:t>TB</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7.磁盘读/写速率：</w:t>
            </w: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.0</w:t>
            </w:r>
            <w:r>
              <w:rPr>
                <w:rFonts w:ascii="仿宋_GB2312" w:hAnsi="仿宋_GB2312" w:cs="仿宋_GB2312" w:eastAsia="仿宋_GB2312"/>
              </w:rPr>
              <w:t>GB/s</w:t>
            </w:r>
          </w:p>
          <w:p>
            <w:pPr>
              <w:pStyle w:val="null3"/>
            </w:pPr>
            <w:r>
              <w:rPr>
                <w:rFonts w:ascii="仿宋_GB2312" w:hAnsi="仿宋_GB2312" w:cs="仿宋_GB2312" w:eastAsia="仿宋_GB2312"/>
              </w:rPr>
              <w:t>8.提供配套上位机软件</w:t>
            </w:r>
          </w:p>
          <w:p>
            <w:pPr>
              <w:pStyle w:val="null3"/>
            </w:pPr>
            <w:r>
              <w:rPr>
                <w:rFonts w:ascii="仿宋_GB2312" w:hAnsi="仿宋_GB2312" w:cs="仿宋_GB2312" w:eastAsia="仿宋_GB2312"/>
              </w:rPr>
              <w:t>9.具备扫描频谱（SSA）与实时频谱分析（RTSA）功能，具备余辉显示，余辉保持时间可设，最大不小于60s。</w:t>
            </w:r>
          </w:p>
          <w:p>
            <w:pPr>
              <w:pStyle w:val="null3"/>
            </w:pPr>
            <w:r>
              <w:rPr>
                <w:rFonts w:ascii="仿宋_GB2312" w:hAnsi="仿宋_GB2312" w:cs="仿宋_GB2312" w:eastAsia="仿宋_GB2312"/>
              </w:rPr>
              <w:t>10.具备信号采集、流盘、回放功能，可实现模拟I/Q信号实时播放，I/Q信号回放带宽</w:t>
            </w:r>
            <w:r>
              <w:rPr>
                <w:rFonts w:ascii="仿宋_GB2312" w:hAnsi="仿宋_GB2312" w:cs="仿宋_GB2312" w:eastAsia="仿宋_GB2312"/>
              </w:rPr>
              <w:t>≥</w:t>
            </w:r>
            <w:r>
              <w:rPr>
                <w:rFonts w:ascii="仿宋_GB2312" w:hAnsi="仿宋_GB2312" w:cs="仿宋_GB2312" w:eastAsia="仿宋_GB2312"/>
              </w:rPr>
              <w:t>500MHz，在上位机软件中可以进行采集与流盘相关参数设置，回放界面展现信号的时域与频域特征，具有存储空间提示，选择文件导出格式等</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11.上位机软件支持信号特征多视图展示，包括扫描频谱图，余辉图，2D瀑布图，3D瀑布图、时域 I/Q图、PvT图、矢量调制星座图等</w:t>
            </w:r>
            <w:r>
              <w:rPr>
                <w:rFonts w:ascii="仿宋_GB2312" w:hAnsi="仿宋_GB2312" w:cs="仿宋_GB2312" w:eastAsia="仿宋_GB2312"/>
              </w:rPr>
              <w:t>（</w:t>
            </w:r>
            <w:r>
              <w:rPr>
                <w:rFonts w:ascii="仿宋_GB2312" w:hAnsi="仿宋_GB2312" w:cs="仿宋_GB2312" w:eastAsia="仿宋_GB2312"/>
              </w:rPr>
              <w:t>提供证明材料，包括但不限于检测报告或产品彩页或技术白皮书或官网截图等</w:t>
            </w:r>
            <w:r>
              <w:rPr>
                <w:rFonts w:ascii="仿宋_GB2312" w:hAnsi="仿宋_GB2312" w:cs="仿宋_GB2312" w:eastAsia="仿宋_GB2312"/>
              </w:rPr>
              <w:t>）</w:t>
            </w:r>
          </w:p>
          <w:p>
            <w:pPr>
              <w:pStyle w:val="null3"/>
            </w:pPr>
            <w:r>
              <w:rPr>
                <w:rFonts w:ascii="仿宋_GB2312" w:hAnsi="仿宋_GB2312" w:cs="仿宋_GB2312" w:eastAsia="仿宋_GB2312"/>
              </w:rPr>
              <w:t>12，提供信号编辑功能，可实现信号的合并与抽取，合并信号可实时回放</w:t>
            </w:r>
            <w:r>
              <w:rPr>
                <w:rFonts w:ascii="仿宋_GB2312" w:hAnsi="仿宋_GB2312" w:cs="仿宋_GB2312" w:eastAsia="仿宋_GB2312"/>
              </w:rPr>
              <w:t>等</w:t>
            </w:r>
            <w:r>
              <w:rPr>
                <w:rFonts w:ascii="仿宋_GB2312" w:hAnsi="仿宋_GB2312" w:cs="仿宋_GB2312" w:eastAsia="仿宋_GB2312"/>
              </w:rPr>
              <w:t>。</w:t>
            </w:r>
          </w:p>
          <w:p>
            <w:pPr>
              <w:pStyle w:val="null3"/>
            </w:pPr>
            <w:r>
              <w:rPr>
                <w:rFonts w:ascii="仿宋_GB2312" w:hAnsi="仿宋_GB2312" w:cs="仿宋_GB2312" w:eastAsia="仿宋_GB2312"/>
              </w:rPr>
              <w:t>13.支持多种触发采集方式，可在上位机软件中设置，包括外部电平触发（提供外部触发接口），射频功率触发，射频幅度触发，频谱模板触发等。支持预触发采集，触发采集数据时长</w:t>
            </w:r>
            <w:r>
              <w:rPr>
                <w:rFonts w:ascii="仿宋_GB2312" w:hAnsi="仿宋_GB2312" w:cs="仿宋_GB2312" w:eastAsia="仿宋_GB2312"/>
              </w:rPr>
              <w:t>≥</w:t>
            </w:r>
            <w:r>
              <w:rPr>
                <w:rFonts w:ascii="仿宋_GB2312" w:hAnsi="仿宋_GB2312" w:cs="仿宋_GB2312" w:eastAsia="仿宋_GB2312"/>
              </w:rPr>
              <w:t>2s（I/Q位宽16bit，以500MHz带宽数据量计算）</w:t>
            </w:r>
          </w:p>
          <w:p>
            <w:pPr>
              <w:pStyle w:val="null3"/>
            </w:pPr>
            <w:r>
              <w:rPr>
                <w:rFonts w:ascii="仿宋_GB2312" w:hAnsi="仿宋_GB2312" w:cs="仿宋_GB2312" w:eastAsia="仿宋_GB2312"/>
              </w:rPr>
              <w:t>14.支持网络SCPI指令远程控制</w:t>
            </w:r>
          </w:p>
          <w:p>
            <w:pPr>
              <w:pStyle w:val="null3"/>
            </w:pPr>
            <w:r>
              <w:rPr>
                <w:rFonts w:ascii="仿宋_GB2312" w:hAnsi="仿宋_GB2312" w:cs="仿宋_GB2312" w:eastAsia="仿宋_GB2312"/>
              </w:rPr>
              <w:t>15.支持10MHz内/外参考切换</w:t>
            </w:r>
          </w:p>
          <w:p>
            <w:pPr>
              <w:pStyle w:val="null3"/>
            </w:pPr>
            <w:r>
              <w:rPr>
                <w:rFonts w:ascii="仿宋_GB2312" w:hAnsi="仿宋_GB2312" w:cs="仿宋_GB2312" w:eastAsia="仿宋_GB2312"/>
              </w:rPr>
              <w:t>16.支持外部1pps触发同步，支持逻辑RTC功能，可配合外部GPS模块实现定时分布式同步采集。</w:t>
            </w:r>
          </w:p>
          <w:p>
            <w:pPr>
              <w:pStyle w:val="null3"/>
            </w:pPr>
            <w:r>
              <w:rPr>
                <w:rFonts w:ascii="仿宋_GB2312" w:hAnsi="仿宋_GB2312" w:cs="仿宋_GB2312" w:eastAsia="仿宋_GB2312"/>
              </w:rPr>
              <w:t>重量（主机）：</w:t>
            </w:r>
            <w:r>
              <w:rPr>
                <w:rFonts w:ascii="仿宋_GB2312" w:hAnsi="仿宋_GB2312" w:cs="仿宋_GB2312" w:eastAsia="仿宋_GB2312"/>
              </w:rPr>
              <w:t>≤5kg</w:t>
            </w:r>
          </w:p>
          <w:p>
            <w:pPr>
              <w:pStyle w:val="null3"/>
            </w:pPr>
            <w:r>
              <w:rPr>
                <w:rFonts w:ascii="仿宋_GB2312" w:hAnsi="仿宋_GB2312" w:cs="仿宋_GB2312" w:eastAsia="仿宋_GB2312"/>
                <w:sz w:val="21"/>
              </w:rPr>
              <w:t>17.具备矢量网络分析功能</w:t>
            </w:r>
            <w:r>
              <w:rPr>
                <w:rFonts w:ascii="仿宋_GB2312" w:hAnsi="仿宋_GB2312" w:cs="仿宋_GB2312" w:eastAsia="仿宋_GB2312"/>
                <w:sz w:val="21"/>
              </w:rPr>
              <w:t>，</w:t>
            </w:r>
            <w:r>
              <w:rPr>
                <w:rFonts w:ascii="仿宋_GB2312" w:hAnsi="仿宋_GB2312" w:cs="仿宋_GB2312" w:eastAsia="仿宋_GB2312"/>
                <w:sz w:val="21"/>
              </w:rPr>
              <w:t>功能要求完整，且有</w:t>
            </w:r>
            <w:r>
              <w:rPr>
                <w:rFonts w:ascii="仿宋_GB2312" w:hAnsi="仿宋_GB2312" w:cs="仿宋_GB2312" w:eastAsia="仿宋_GB2312"/>
                <w:sz w:val="21"/>
              </w:rPr>
              <w:t>三方计量报告。</w:t>
            </w:r>
            <w:r>
              <w:rPr>
                <w:rFonts w:ascii="仿宋_GB2312" w:hAnsi="仿宋_GB2312" w:cs="仿宋_GB2312" w:eastAsia="仿宋_GB2312"/>
                <w:sz w:val="21"/>
              </w:rPr>
              <w:t>（</w:t>
            </w:r>
            <w:r>
              <w:rPr>
                <w:rFonts w:ascii="仿宋_GB2312" w:hAnsi="仿宋_GB2312" w:cs="仿宋_GB2312" w:eastAsia="仿宋_GB2312"/>
                <w:sz w:val="21"/>
              </w:rPr>
              <w:t>提供证明材料，包括但不限于检测报告或产品彩页或技术白皮书或官网截图等</w:t>
            </w:r>
            <w:r>
              <w:rPr>
                <w:rFonts w:ascii="仿宋_GB2312" w:hAnsi="仿宋_GB2312" w:cs="仿宋_GB2312" w:eastAsia="仿宋_GB2312"/>
                <w:sz w:val="21"/>
              </w:rPr>
              <w:t>）</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b/>
              </w:rPr>
              <w:t>配置要求：</w:t>
            </w:r>
          </w:p>
          <w:p>
            <w:pPr>
              <w:pStyle w:val="null3"/>
            </w:pPr>
            <w:r>
              <w:rPr>
                <w:rFonts w:ascii="仿宋_GB2312" w:hAnsi="仿宋_GB2312" w:cs="仿宋_GB2312" w:eastAsia="仿宋_GB2312"/>
              </w:rPr>
              <w:t>1.具备超外差架构射频接收前端</w:t>
            </w:r>
          </w:p>
          <w:p>
            <w:pPr>
              <w:pStyle w:val="null3"/>
            </w:pPr>
            <w:r>
              <w:rPr>
                <w:rFonts w:ascii="仿宋_GB2312" w:hAnsi="仿宋_GB2312" w:cs="仿宋_GB2312" w:eastAsia="仿宋_GB2312"/>
              </w:rPr>
              <w:t>2.ADC采样率不低于1.2Gsps</w:t>
            </w:r>
          </w:p>
          <w:p>
            <w:pPr>
              <w:pStyle w:val="null3"/>
            </w:pPr>
            <w:r>
              <w:rPr>
                <w:rFonts w:ascii="仿宋_GB2312" w:hAnsi="仿宋_GB2312" w:cs="仿宋_GB2312" w:eastAsia="仿宋_GB2312"/>
              </w:rPr>
              <w:t>3</w:t>
            </w:r>
            <w:r>
              <w:rPr>
                <w:rFonts w:ascii="仿宋_GB2312" w:hAnsi="仿宋_GB2312" w:cs="仿宋_GB2312" w:eastAsia="仿宋_GB2312"/>
              </w:rPr>
              <w:t>.内置SSD硬盘不小于</w:t>
            </w:r>
            <w:r>
              <w:rPr>
                <w:rFonts w:ascii="仿宋_GB2312" w:hAnsi="仿宋_GB2312" w:cs="仿宋_GB2312" w:eastAsia="仿宋_GB2312"/>
              </w:rPr>
              <w:t>8</w:t>
            </w:r>
            <w:r>
              <w:rPr>
                <w:rFonts w:ascii="仿宋_GB2312" w:hAnsi="仿宋_GB2312" w:cs="仿宋_GB2312" w:eastAsia="仿宋_GB2312"/>
              </w:rPr>
              <w:t>TB</w:t>
            </w:r>
          </w:p>
          <w:p>
            <w:pPr>
              <w:pStyle w:val="null3"/>
            </w:pPr>
            <w:r>
              <w:rPr>
                <w:rFonts w:ascii="仿宋_GB2312" w:hAnsi="仿宋_GB2312" w:cs="仿宋_GB2312" w:eastAsia="仿宋_GB2312"/>
                <w:sz w:val="21"/>
              </w:rPr>
              <w:t>4</w:t>
            </w:r>
            <w:r>
              <w:rPr>
                <w:rFonts w:ascii="仿宋_GB2312" w:hAnsi="仿宋_GB2312" w:cs="仿宋_GB2312" w:eastAsia="仿宋_GB2312"/>
                <w:sz w:val="21"/>
              </w:rPr>
              <w:t>.网络接口速率不小于1000Mbps</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1"/>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供应商应配合在校进行现场测试验收，功能类指标需现场展示经老师与专家认可后通过，性能类指标以标准设备实测结果为准，现场不具备测试能力时可采信出厂测试合格报告或三方机构测试报告。</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1.售后服务要求：质保期3年，超出质保期后仍提供备品备件与维修服务，根据故障情况和用户商量维修方案，仅收取材料费。并终身提供免费的软件版本更新服务。免费提供一次设备移机服务。 2.培训要求：供应商应在设备安装完成后提供不小于1天的现场使用培训，包括设备原理讲解，设备基本操作，常见疑问说明，设备保养事项等。并在后续设备使用中遇到问题2小时内线上提出解决方案。 3.配件要求：产品交付时应配套提供接收天线，射频转接器及射频线缆。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