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版本号：KY2025-3-27220251124001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超稳信号源系统采购项目(二次)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KY2025-3-272</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超稳信号源系统采购项目(二次)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KY2025-3-272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超稳信号源系统采购项目(二次)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西安邮电大学超稳信号源系统采购项目，本项目已通过进口产品采购核准，允许采购进口产品，详见采购文件。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7、法定代表人授权书及被授权人身份证：法定代表人授权书及被授权人身份证复印件。（法定代表人直接谈判只须提交其身份证明书）</w:t>
      </w:r>
    </w:p>
    <w:p>
      <w:pPr>
        <w:pStyle w:val="null3"/>
      </w:pPr>
      <w:r>
        <w:rPr>
          <w:rFonts w:ascii="仿宋_GB2312" w:hAnsi="仿宋_GB2312" w:cs="仿宋_GB2312" w:eastAsia="仿宋_GB2312"/>
        </w:rPr>
        <w:t>8、进口产品资质：若响应产品为进口产品的，供应商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029-81206622-841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银行账号：611301075018150010271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20%收取。中标(成交)单位在领取中标通知书前，须向采购代理机构一次性支付招标代理服务费;代理服务费以转账、电汇或现金等形式交纳。 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陕西开源招标有限公司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联系人：徐闫靖双、李瑞洁、戈迪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西安邮电大学超稳信号源系统采购项目，本项目已通过进口产品采购核准，允许采购进口产品，详见采购文件。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1,130,000.00</w:t>
      </w:r>
    </w:p>
    <w:p>
      <w:pPr>
        <w:pStyle w:val="null3"/>
      </w:pPr>
      <w:r>
        <w:rPr>
          <w:rFonts w:ascii="仿宋_GB2312" w:hAnsi="仿宋_GB2312" w:cs="仿宋_GB2312" w:eastAsia="仿宋_GB2312"/>
        </w:rPr>
        <w:t>采购包最高限价（元）: 1,130,000.00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超稳信号源系统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标的名称：超稳信号源系统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一、采购清单及技术标准、配置要求</w:t>
            </w:r>
          </w:p>
          <w:p>
            <w:pPr>
              <w:pStyle w:val="null3"/>
            </w:pPr>
            <w:r>
              <w:rPr>
                <w:rFonts w:ascii="仿宋_GB2312" w:hAnsi="仿宋_GB2312" w:cs="仿宋_GB2312" w:eastAsia="仿宋_GB2312"/>
                <w:sz w:val="24"/>
              </w:rPr>
              <w:t>1、超稳信号源系统</w:t>
            </w:r>
            <w:r>
              <w:rPr>
                <w:rFonts w:ascii="仿宋_GB2312" w:hAnsi="仿宋_GB2312" w:cs="仿宋_GB2312" w:eastAsia="仿宋_GB2312"/>
                <w:sz w:val="24"/>
                <w:b/>
              </w:rPr>
              <w:t>（核心产品）</w:t>
            </w:r>
          </w:p>
          <w:p>
            <w:pPr>
              <w:pStyle w:val="null3"/>
            </w:pPr>
            <w:r>
              <w:rPr>
                <w:rFonts w:ascii="仿宋_GB2312" w:hAnsi="仿宋_GB2312" w:cs="仿宋_GB2312" w:eastAsia="仿宋_GB2312"/>
                <w:sz w:val="24"/>
              </w:rPr>
              <w:t>（1）提供2路5MHz信号、2路10MHz信号、1路100MHz信号、1路1PPS信号；</w:t>
            </w:r>
          </w:p>
          <w:p>
            <w:pPr>
              <w:pStyle w:val="null3"/>
            </w:pPr>
            <w:r>
              <w:rPr>
                <w:rFonts w:ascii="仿宋_GB2312" w:hAnsi="仿宋_GB2312" w:cs="仿宋_GB2312" w:eastAsia="仿宋_GB2312"/>
                <w:sz w:val="24"/>
              </w:rPr>
              <w:t>（2）频率短期稳定度：≤5E-13@1s；</w:t>
            </w:r>
            <w:r>
              <w:rPr>
                <w:rFonts w:ascii="仿宋_GB2312" w:hAnsi="仿宋_GB2312" w:cs="仿宋_GB2312" w:eastAsia="仿宋_GB2312"/>
                <w:sz w:val="24"/>
                <w:b/>
              </w:rPr>
              <w:t>（须提供佐证材料，不限于产品彩页、官网、功能截图、第三方检测报告或者第三方计量报告等）</w:t>
            </w:r>
          </w:p>
          <w:p>
            <w:pPr>
              <w:pStyle w:val="null3"/>
            </w:pPr>
            <w:r>
              <w:rPr>
                <w:rFonts w:ascii="仿宋_GB2312" w:hAnsi="仿宋_GB2312" w:cs="仿宋_GB2312" w:eastAsia="仿宋_GB2312"/>
                <w:sz w:val="24"/>
              </w:rPr>
              <w:t>（3）频率长期稳定度：≤3E-15@1d；</w:t>
            </w:r>
            <w:r>
              <w:rPr>
                <w:rFonts w:ascii="仿宋_GB2312" w:hAnsi="仿宋_GB2312" w:cs="仿宋_GB2312" w:eastAsia="仿宋_GB2312"/>
                <w:sz w:val="24"/>
                <w:b/>
              </w:rPr>
              <w:t>（须提供佐证材料，不限于产品彩页、官网、功能截图、第三方检测报告或者第三方计量报告等）</w:t>
            </w:r>
          </w:p>
          <w:p>
            <w:pPr>
              <w:pStyle w:val="null3"/>
            </w:pPr>
            <w:r>
              <w:rPr>
                <w:rFonts w:ascii="仿宋_GB2312" w:hAnsi="仿宋_GB2312" w:cs="仿宋_GB2312" w:eastAsia="仿宋_GB2312"/>
                <w:sz w:val="24"/>
              </w:rPr>
              <w:t>（4）频率准确度：≤5E-13；</w:t>
            </w:r>
            <w:r>
              <w:rPr>
                <w:rFonts w:ascii="仿宋_GB2312" w:hAnsi="仿宋_GB2312" w:cs="仿宋_GB2312" w:eastAsia="仿宋_GB2312"/>
                <w:sz w:val="24"/>
                <w:b/>
              </w:rPr>
              <w:t>（须提供佐证材料，不限于产品彩页、官网、功能截图、第三方检测报告或者第三方计量报告等）</w:t>
            </w:r>
          </w:p>
          <w:p>
            <w:pPr>
              <w:pStyle w:val="null3"/>
            </w:pPr>
            <w:r>
              <w:rPr>
                <w:rFonts w:ascii="仿宋_GB2312" w:hAnsi="仿宋_GB2312" w:cs="仿宋_GB2312" w:eastAsia="仿宋_GB2312"/>
                <w:sz w:val="24"/>
              </w:rPr>
              <w:t>（5）相位噪声谱密度：≤-100dBc/Hz@1Hz</w:t>
            </w:r>
            <w:r>
              <w:rPr>
                <w:rFonts w:ascii="仿宋_GB2312" w:hAnsi="仿宋_GB2312" w:cs="仿宋_GB2312" w:eastAsia="仿宋_GB2312"/>
                <w:sz w:val="24"/>
                <w:b/>
              </w:rPr>
              <w:t>（须提供佐证材料，不限于产品彩页、官网、功能截图、第三方检测报告或者第三方计量报告等）</w:t>
            </w:r>
            <w:r>
              <w:rPr>
                <w:rFonts w:ascii="仿宋_GB2312" w:hAnsi="仿宋_GB2312" w:cs="仿宋_GB2312" w:eastAsia="仿宋_GB2312"/>
                <w:sz w:val="24"/>
              </w:rPr>
              <w:t>（10MHz）,≤-145dBc/Hz@1000Hz（10MHz）</w:t>
            </w:r>
          </w:p>
          <w:p>
            <w:pPr>
              <w:pStyle w:val="null3"/>
            </w:pPr>
            <w:r>
              <w:rPr>
                <w:rFonts w:ascii="仿宋_GB2312" w:hAnsi="仿宋_GB2312" w:cs="仿宋_GB2312" w:eastAsia="仿宋_GB2312"/>
                <w:sz w:val="24"/>
              </w:rPr>
              <w:t>（6）频率漂移率：≤1E-15/天</w:t>
            </w:r>
          </w:p>
          <w:p>
            <w:pPr>
              <w:pStyle w:val="null3"/>
            </w:pPr>
            <w:r>
              <w:rPr>
                <w:rFonts w:ascii="仿宋_GB2312" w:hAnsi="仿宋_GB2312" w:cs="仿宋_GB2312" w:eastAsia="仿宋_GB2312"/>
                <w:sz w:val="24"/>
              </w:rPr>
              <w:t>（7）温度灵敏度：≤5E-15/℃</w:t>
            </w:r>
          </w:p>
          <w:p>
            <w:pPr>
              <w:pStyle w:val="null3"/>
            </w:pPr>
            <w:r>
              <w:rPr>
                <w:rFonts w:ascii="仿宋_GB2312" w:hAnsi="仿宋_GB2312" w:cs="仿宋_GB2312" w:eastAsia="仿宋_GB2312"/>
                <w:sz w:val="24"/>
              </w:rPr>
              <w:t>（8）接口：RS-232；USB；LAN</w:t>
            </w:r>
          </w:p>
          <w:p>
            <w:pPr>
              <w:pStyle w:val="null3"/>
            </w:pPr>
            <w:r>
              <w:rPr>
                <w:rFonts w:ascii="仿宋_GB2312" w:hAnsi="仿宋_GB2312" w:cs="仿宋_GB2312" w:eastAsia="仿宋_GB2312"/>
                <w:sz w:val="24"/>
              </w:rPr>
              <w:t>（9）具备相噪测试功能：</w:t>
            </w:r>
          </w:p>
          <w:p>
            <w:pPr>
              <w:pStyle w:val="null3"/>
            </w:pPr>
            <w:r>
              <w:rPr>
                <w:rFonts w:ascii="仿宋_GB2312" w:hAnsi="仿宋_GB2312" w:cs="仿宋_GB2312" w:eastAsia="仿宋_GB2312"/>
                <w:sz w:val="24"/>
              </w:rPr>
              <w:t>①输入信号：正弦波1MHz至100MHz；</w:t>
            </w:r>
          </w:p>
          <w:p>
            <w:pPr>
              <w:pStyle w:val="null3"/>
            </w:pPr>
            <w:r>
              <w:rPr>
                <w:rFonts w:ascii="仿宋_GB2312" w:hAnsi="仿宋_GB2312" w:cs="仿宋_GB2312" w:eastAsia="仿宋_GB2312"/>
                <w:sz w:val="24"/>
              </w:rPr>
              <w:t>②噪声带宽:0.5, 1.5,5, 50, 500 Hz；</w:t>
            </w:r>
          </w:p>
          <w:p>
            <w:pPr>
              <w:pStyle w:val="null3"/>
            </w:pPr>
            <w:r>
              <w:rPr>
                <w:rFonts w:ascii="仿宋_GB2312" w:hAnsi="仿宋_GB2312" w:cs="仿宋_GB2312" w:eastAsia="仿宋_GB2312"/>
                <w:sz w:val="24"/>
              </w:rPr>
              <w:t>③ADEV测量范围：0.01秒～1天；</w:t>
            </w:r>
          </w:p>
          <w:p>
            <w:pPr>
              <w:pStyle w:val="null3"/>
            </w:pPr>
            <w:r>
              <w:rPr>
                <w:rFonts w:ascii="仿宋_GB2312" w:hAnsi="仿宋_GB2312" w:cs="仿宋_GB2312" w:eastAsia="仿宋_GB2312"/>
                <w:sz w:val="24"/>
              </w:rPr>
              <w:t>④相位噪声范围:0.001 Hz～100 kHz;</w:t>
            </w:r>
          </w:p>
          <w:p>
            <w:pPr>
              <w:pStyle w:val="null3"/>
            </w:pPr>
            <w:r>
              <w:rPr>
                <w:rFonts w:ascii="仿宋_GB2312" w:hAnsi="仿宋_GB2312" w:cs="仿宋_GB2312" w:eastAsia="仿宋_GB2312"/>
                <w:sz w:val="24"/>
              </w:rPr>
              <w:t>⑤相噪（5MHz）：≤135dBc/Hz@1Hz;≤160dBc/Hz@1kHz;</w:t>
            </w:r>
          </w:p>
          <w:p>
            <w:pPr>
              <w:pStyle w:val="null3"/>
            </w:pPr>
            <w:r>
              <w:rPr>
                <w:rFonts w:ascii="仿宋_GB2312" w:hAnsi="仿宋_GB2312" w:cs="仿宋_GB2312" w:eastAsia="仿宋_GB2312"/>
                <w:sz w:val="24"/>
              </w:rPr>
              <w:t>2、配置要求</w:t>
            </w:r>
          </w:p>
          <w:p>
            <w:pPr>
              <w:pStyle w:val="null3"/>
            </w:pPr>
            <w:r>
              <w:rPr>
                <w:rFonts w:ascii="仿宋_GB2312" w:hAnsi="仿宋_GB2312" w:cs="仿宋_GB2312" w:eastAsia="仿宋_GB2312"/>
                <w:sz w:val="24"/>
                <w:color w:val="000000"/>
              </w:rPr>
              <w:t>配置连接</w:t>
            </w:r>
            <w:r>
              <w:rPr>
                <w:rFonts w:ascii="仿宋_GB2312" w:hAnsi="仿宋_GB2312" w:cs="仿宋_GB2312" w:eastAsia="仿宋_GB2312"/>
                <w:sz w:val="24"/>
              </w:rPr>
              <w:t>线缆、接口配件等一批,提供产品使用培训服务，产品验收合格后提供3年质保服务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二、其他要求</w:t>
            </w:r>
          </w:p>
          <w:p>
            <w:pPr>
              <w:pStyle w:val="null3"/>
            </w:pPr>
            <w:r>
              <w:rPr>
                <w:rFonts w:ascii="仿宋_GB2312" w:hAnsi="仿宋_GB2312" w:cs="仿宋_GB2312" w:eastAsia="仿宋_GB2312"/>
                <w:sz w:val="24"/>
              </w:rPr>
              <w:t>1、包装需采取防震、防潮、防静电措施；</w:t>
            </w:r>
          </w:p>
          <w:p>
            <w:pPr>
              <w:pStyle w:val="null3"/>
            </w:pPr>
            <w:r>
              <w:rPr>
                <w:rFonts w:ascii="仿宋_GB2312" w:hAnsi="仿宋_GB2312" w:cs="仿宋_GB2312" w:eastAsia="仿宋_GB2312"/>
                <w:sz w:val="24"/>
              </w:rPr>
              <w:t>2、验收标准：</w:t>
            </w:r>
          </w:p>
          <w:p>
            <w:pPr>
              <w:pStyle w:val="null3"/>
            </w:pPr>
            <w:r>
              <w:rPr>
                <w:rFonts w:ascii="仿宋_GB2312" w:hAnsi="仿宋_GB2312" w:cs="仿宋_GB2312" w:eastAsia="仿宋_GB2312"/>
                <w:sz w:val="24"/>
              </w:rPr>
              <w:t>设备验收将依据双方共同确认的技术规格书及约定的行业/国际通用标准执行。验收内容包括但不限于以下方面：</w:t>
            </w:r>
          </w:p>
          <w:p>
            <w:pPr>
              <w:pStyle w:val="null3"/>
            </w:pPr>
            <w:r>
              <w:rPr>
                <w:rFonts w:ascii="仿宋_GB2312" w:hAnsi="仿宋_GB2312" w:cs="仿宋_GB2312" w:eastAsia="仿宋_GB2312"/>
                <w:sz w:val="24"/>
              </w:rPr>
              <w:t>功能性能验证：依据协定方法，对设备各项功能、精度、稳定性及重复性等关键性能指标进行现场实测，结果须完全符合技术规格要求。</w:t>
            </w:r>
          </w:p>
          <w:p>
            <w:pPr>
              <w:pStyle w:val="null3"/>
            </w:pPr>
            <w:r>
              <w:rPr>
                <w:rFonts w:ascii="仿宋_GB2312" w:hAnsi="仿宋_GB2312" w:cs="仿宋_GB2312" w:eastAsia="仿宋_GB2312"/>
                <w:sz w:val="24"/>
              </w:rPr>
              <w:t>完整性核查：对设备型号、硬件配置、所有附带配件、工具及技术文件（包括但不限于操作手册、维修手册、电路图等）进行清点与一致性确认。</w:t>
            </w:r>
          </w:p>
          <w:p>
            <w:pPr>
              <w:pStyle w:val="null3"/>
            </w:pPr>
            <w:r>
              <w:rPr>
                <w:rFonts w:ascii="仿宋_GB2312" w:hAnsi="仿宋_GB2312" w:cs="仿宋_GB2312" w:eastAsia="仿宋_GB2312"/>
                <w:sz w:val="24"/>
              </w:rPr>
              <w:t>2、售后服务与质保：</w:t>
            </w:r>
          </w:p>
          <w:p>
            <w:pPr>
              <w:pStyle w:val="null3"/>
            </w:pPr>
            <w:r>
              <w:rPr>
                <w:rFonts w:ascii="仿宋_GB2312" w:hAnsi="仿宋_GB2312" w:cs="仿宋_GB2312" w:eastAsia="仿宋_GB2312"/>
                <w:sz w:val="24"/>
              </w:rPr>
              <w:t>质保期：自最终验收合格之日起3年。</w:t>
            </w:r>
          </w:p>
          <w:p>
            <w:pPr>
              <w:pStyle w:val="null3"/>
            </w:pPr>
            <w:r>
              <w:rPr>
                <w:rFonts w:ascii="仿宋_GB2312" w:hAnsi="仿宋_GB2312" w:cs="仿宋_GB2312" w:eastAsia="仿宋_GB2312"/>
                <w:sz w:val="24"/>
              </w:rPr>
              <w:t>技术支持：乙方承诺提供7×24小时技术支持热线，并设立明确的多级现场响应机制（例如：一般问题2小时内响应，需现场服务的，在协定时间内抵达现场）。</w:t>
            </w:r>
          </w:p>
          <w:p>
            <w:pPr>
              <w:pStyle w:val="null3"/>
            </w:pPr>
            <w:r>
              <w:rPr>
                <w:rFonts w:ascii="仿宋_GB2312" w:hAnsi="仿宋_GB2312" w:cs="仿宋_GB2312" w:eastAsia="仿宋_GB2312"/>
                <w:sz w:val="24"/>
              </w:rPr>
              <w:t>维护服务：质保期内，乙方提供不少于1次/年的预防性维护服务，内容包括但不限于设备全面检查、性能校准与优化。</w:t>
            </w:r>
          </w:p>
          <w:p>
            <w:pPr>
              <w:pStyle w:val="null3"/>
            </w:pPr>
            <w:r>
              <w:rPr>
                <w:rFonts w:ascii="仿宋_GB2312" w:hAnsi="仿宋_GB2312" w:cs="仿宋_GB2312" w:eastAsia="仿宋_GB2312"/>
                <w:sz w:val="24"/>
              </w:rPr>
              <w:t>维修与备件：质保期内，所有非人为因素导致的故障，乙方提供的零部件更换与专业维修服务（包含在合同价款中）。同时，乙方保证自设备出厂之日起，至少5年内相关备件的持续供应。</w:t>
            </w:r>
          </w:p>
          <w:p>
            <w:pPr>
              <w:pStyle w:val="null3"/>
            </w:pPr>
            <w:r>
              <w:rPr>
                <w:rFonts w:ascii="仿宋_GB2312" w:hAnsi="仿宋_GB2312" w:cs="仿宋_GB2312" w:eastAsia="仿宋_GB2312"/>
                <w:sz w:val="24"/>
              </w:rPr>
              <w:t>3、培训计划：</w:t>
            </w:r>
          </w:p>
          <w:p>
            <w:pPr>
              <w:pStyle w:val="null3"/>
            </w:pPr>
            <w:r>
              <w:rPr>
                <w:rFonts w:ascii="仿宋_GB2312" w:hAnsi="仿宋_GB2312" w:cs="仿宋_GB2312" w:eastAsia="仿宋_GB2312"/>
                <w:sz w:val="24"/>
              </w:rPr>
              <w:t>设备安装调试完成后，乙方须在甲方现场为指定人员提供全面的操作与维护培训。培训目标为确保甲方至少两名相关人员能够：</w:t>
            </w:r>
          </w:p>
          <w:p>
            <w:pPr>
              <w:pStyle w:val="null3"/>
            </w:pPr>
            <w:r>
              <w:rPr>
                <w:rFonts w:ascii="仿宋_GB2312" w:hAnsi="仿宋_GB2312" w:cs="仿宋_GB2312" w:eastAsia="仿宋_GB2312"/>
                <w:sz w:val="24"/>
              </w:rPr>
              <w:t>①独立、规范、安全地操作设备完成常规实验任务。</w:t>
            </w:r>
          </w:p>
          <w:p>
            <w:pPr>
              <w:pStyle w:val="null3"/>
            </w:pPr>
            <w:r>
              <w:rPr>
                <w:rFonts w:ascii="仿宋_GB2312" w:hAnsi="仿宋_GB2312" w:cs="仿宋_GB2312" w:eastAsia="仿宋_GB2312"/>
                <w:sz w:val="24"/>
              </w:rPr>
              <w:t>②熟练掌握设备的日常、定期维护保养规程。</w:t>
            </w:r>
          </w:p>
          <w:p>
            <w:pPr>
              <w:pStyle w:val="null3"/>
            </w:pPr>
            <w:r>
              <w:rPr>
                <w:rFonts w:ascii="仿宋_GB2312" w:hAnsi="仿宋_GB2312" w:cs="仿宋_GB2312" w:eastAsia="仿宋_GB2312"/>
                <w:sz w:val="24"/>
              </w:rPr>
              <w:t>③深刻理解设备基本原理，具备基础故障的诊断、排查与应急处理能力。</w:t>
            </w:r>
          </w:p>
          <w:p>
            <w:pPr>
              <w:pStyle w:val="null3"/>
            </w:pPr>
            <w:r>
              <w:rPr>
                <w:rFonts w:ascii="仿宋_GB2312" w:hAnsi="仿宋_GB2312" w:cs="仿宋_GB2312" w:eastAsia="仿宋_GB2312"/>
                <w:sz w:val="24"/>
              </w:rPr>
              <w:t>④通过培训，实质性提升甲方的自主运维水平，降低对乙方的技术依赖。</w:t>
            </w:r>
          </w:p>
          <w:p>
            <w:pPr>
              <w:pStyle w:val="null3"/>
            </w:pPr>
            <w:r>
              <w:rPr>
                <w:rFonts w:ascii="仿宋_GB2312" w:hAnsi="仿宋_GB2312" w:cs="仿宋_GB2312" w:eastAsia="仿宋_GB2312"/>
                <w:sz w:val="24"/>
                <w:color w:val="000000"/>
              </w:rPr>
              <w:t>4、提供一次移机服务。</w:t>
            </w:r>
            <w:r>
              <w:rPr>
                <w:rFonts w:ascii="仿宋_GB2312" w:hAnsi="仿宋_GB2312" w:cs="仿宋_GB2312" w:eastAsia="仿宋_GB2312"/>
                <w:sz w:val="24"/>
                <w:color w:val="000000"/>
              </w:rPr>
              <w:t>（包含在合同价款中）</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color w:val="000000"/>
              </w:rPr>
              <w:t>备注：以上参数为实质性要求，供应商任意一项负偏离，</w:t>
            </w:r>
            <w:r>
              <w:rPr>
                <w:rFonts w:ascii="仿宋_GB2312" w:hAnsi="仿宋_GB2312" w:cs="仿宋_GB2312" w:eastAsia="仿宋_GB2312"/>
                <w:sz w:val="24"/>
                <w:color w:val="000000"/>
              </w:rPr>
              <w:t>响应文件</w:t>
            </w:r>
            <w:r>
              <w:rPr>
                <w:rFonts w:ascii="仿宋_GB2312" w:hAnsi="仿宋_GB2312" w:cs="仿宋_GB2312" w:eastAsia="仿宋_GB2312"/>
                <w:sz w:val="24"/>
                <w:color w:val="000000"/>
              </w:rPr>
              <w:t>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国产产品：合同签订后45天安装调试完成保证可正常使用。 进口产品：合同签订后5个月内交付。</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根据采购单位通知的时间和地点，安排具有相关经验的工程技术人员参与采购单位验收，根据各项技术指标提供相应测试报告对货物进行验收，由投标人配合需求单位进行验收，形成验收报告。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质量保证期：自最终验收合格之日起3年。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技术支持及售后要求：（1）乙方承诺提供7×24小时技术支持热线，并设立明确的多级现场响应机制（例如：一般问题2小时内响应，需现场服务的，在协定时间内抵达现场）（2）维护服务：质保期内，乙方提供不少于1次/年的预防性维护服务，内容包括但不限于设备全面检查、性能校准与优化。（3）维修与备件：质保期内，所有非人为因素导致的故障，乙方提供的零部件更换与专业维修服务（包含在合同价款中）。同时，乙方保证自设备出厂之日起，至少5年内相关备件的持续供应。（4）培训计划：设备安装调试完成后，乙方须在甲方现场为指定人员提供全面的操作与维护培训。培训目标为确保甲方至少两名相关人员能够：①独立、规范、安全地操作设备完成常规实验任务。②熟练掌握设备的日常、定期维护保养规程。③深刻理解设备基本原理，具备基础故障的诊断、排查与应急处理能力。④通过培训，实质性提升甲方的自主运维水平，降低对乙方的技术依赖。 2、本项目落实的政府采购政策： ①《政府采购促进中小企业发展管理办法》的通知--财库〔2020〕46号；②《财政部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⑩若享受以上政策优惠的企业，提供相应声明函或品目范围内产品有效认证证书。如有最新颁布的政府采购政策，按最新的文件执行。 3、保证金的退还：自成交通知书发出之日起5个工作日内退还未成交供应商的磋商保证金,自采购合同签订之日起5个工作日内退还成交供应商的投标保证金。合同签订后，成交供应商需将合同扫描件发送至指定联系人邮箱，邮箱地址为2692780587@qq.com，并以邮件接收时间为退付的基准时间。 4、支付约定 国产产品：付款条件说明:合同签订后，达到付款条件起10日内，支付合同金额的80%， 付款条件说明:货到安装调试完成后，达到付款条件起10日内，支付合同金额的10%， 付款条件说明:待验收合格后，凭成交供应商开具全额增值税专用发票，达到付款条件起10日内，支付合同金额的 10.00%。 进口产品：采购包1： 付款条件说明：合同生效后，采购人给进出口业务代理公司付全额货款，由进出口业务代理公司向中标人开出100%不可撤销即期信用证。待货物到货、安装调试、并经采购人组织验收合格后，凭采购人出具的验收报告通过银行解付全部涉外货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法定代表人授权书及被授权人身份证复印件。（法定代表人直接谈判只须提交其身份证明书）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进口产品资质</w:t>
            </w:r>
          </w:p>
        </w:tc>
        <w:tc>
          <w:tcPr>
            <w:tcW w:type="dxa" w:w="3322"/>
          </w:tcPr>
          <w:p>
            <w:pPr>
              <w:pStyle w:val="null3"/>
            </w:pPr>
            <w:r>
              <w:rPr>
                <w:rFonts w:ascii="仿宋_GB2312" w:hAnsi="仿宋_GB2312" w:cs="仿宋_GB2312" w:eastAsia="仿宋_GB2312"/>
              </w:rPr>
              <w:t>若响应产品为进口产品的，供应商须提供产品厂家授权书或总代理商授权书或具有授权权限的供应商对所投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分项报价表.docx 商务应答表 标的清单 响应函 技术指标偏差表.docx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响应报价是否超过采购预算或者最高限价</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交货时间满足采购文件要求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质保期满足采购文件要求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标的数量满足采购要求</w:t>
            </w:r>
          </w:p>
        </w:tc>
        <w:tc>
          <w:tcPr>
            <w:tcW w:type="dxa" w:w="1661"/>
          </w:tcPr>
          <w:p>
            <w:pPr>
              <w:pStyle w:val="null3"/>
            </w:pPr>
            <w:r>
              <w:rPr>
                <w:rFonts w:ascii="仿宋_GB2312" w:hAnsi="仿宋_GB2312" w:cs="仿宋_GB2312" w:eastAsia="仿宋_GB2312"/>
              </w:rPr>
              <w:t>标的清单 技术指标偏差表.docx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响应文件未含有采购人不能接受的附加条件的</w:t>
            </w:r>
          </w:p>
        </w:tc>
        <w:tc>
          <w:tcPr>
            <w:tcW w:type="dxa" w:w="1661"/>
          </w:tcPr>
          <w:p>
            <w:pPr>
              <w:pStyle w:val="null3"/>
            </w:pPr>
            <w:r>
              <w:rPr>
                <w:rFonts w:ascii="仿宋_GB2312" w:hAnsi="仿宋_GB2312" w:cs="仿宋_GB2312" w:eastAsia="仿宋_GB2312"/>
              </w:rPr>
              <w:t>供应商认为有必要说明的问题.docx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业绩</w:t>
            </w:r>
          </w:p>
        </w:tc>
        <w:tc>
          <w:tcPr>
            <w:tcW w:type="dxa" w:w="3322"/>
          </w:tcPr>
          <w:p>
            <w:pPr>
              <w:pStyle w:val="null3"/>
            </w:pPr>
            <w:r>
              <w:rPr>
                <w:rFonts w:ascii="仿宋_GB2312" w:hAnsi="仿宋_GB2312" w:cs="仿宋_GB2312" w:eastAsia="仿宋_GB2312"/>
              </w:rPr>
              <w:t>同类业绩1份（能够完全满足本项目技术指标要求或具有类似功能）</w:t>
            </w:r>
          </w:p>
        </w:tc>
        <w:tc>
          <w:tcPr>
            <w:tcW w:type="dxa" w:w="1661"/>
          </w:tcPr>
          <w:p>
            <w:pPr>
              <w:pStyle w:val="null3"/>
            </w:pPr>
            <w:r>
              <w:rPr>
                <w:rFonts w:ascii="仿宋_GB2312" w:hAnsi="仿宋_GB2312" w:cs="仿宋_GB2312" w:eastAsia="仿宋_GB2312"/>
              </w:rPr>
              <w:t>同类业绩1份.docx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供应商认为有必要说明的问题.docx 技术指标偏差表.docx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详见附件：同类业绩1份.docx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详见附件：政府采购合同-进口及国产.docx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