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版本号：SXMF-2025-117.3B120251125001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战略性矿产资源勘查和地热资源调查评价新开项目(二次)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SXMF-2025-117.3B1</w:t>
      </w:r>
      <w:r>
        <w:br/>
      </w:r>
      <w:r>
        <w:br/>
      </w:r>
      <w:r>
        <w:br/>
      </w:r>
    </w:p>
    <w:p>
      <w:pPr>
        <w:pStyle w:val="null3"/>
        <w:jc w:val="center"/>
        <w:outlineLvl w:val="2"/>
      </w:pPr>
      <w:r>
        <w:rPr>
          <w:rFonts w:ascii="仿宋_GB2312" w:hAnsi="仿宋_GB2312" w:cs="仿宋_GB2312" w:eastAsia="仿宋_GB2312"/>
          <w:sz w:val="28"/>
          <w:b/>
        </w:rPr>
        <w:t>陕西省自然资源厅</w:t>
      </w:r>
    </w:p>
    <w:p>
      <w:pPr>
        <w:pStyle w:val="null3"/>
        <w:jc w:val="center"/>
        <w:outlineLvl w:val="2"/>
      </w:pPr>
      <w:r>
        <w:rPr>
          <w:rFonts w:ascii="仿宋_GB2312" w:hAnsi="仿宋_GB2312" w:cs="仿宋_GB2312" w:eastAsia="仿宋_GB2312"/>
          <w:sz w:val="28"/>
          <w:b/>
        </w:rPr>
        <w:t>陕西铭帆项目管理有限公司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陕西铭帆项目管理有限公司</w:t>
      </w:r>
      <w:r>
        <w:rPr>
          <w:rFonts w:ascii="仿宋_GB2312" w:hAnsi="仿宋_GB2312" w:cs="仿宋_GB2312" w:eastAsia="仿宋_GB2312"/>
        </w:rPr>
        <w:t>（以下简称“代理机构”）受</w:t>
      </w:r>
      <w:r>
        <w:rPr>
          <w:rFonts w:ascii="仿宋_GB2312" w:hAnsi="仿宋_GB2312" w:cs="仿宋_GB2312" w:eastAsia="仿宋_GB2312"/>
        </w:rPr>
        <w:t>陕西省自然资源厅</w:t>
      </w:r>
      <w:r>
        <w:rPr>
          <w:rFonts w:ascii="仿宋_GB2312" w:hAnsi="仿宋_GB2312" w:cs="仿宋_GB2312" w:eastAsia="仿宋_GB2312"/>
        </w:rPr>
        <w:t>委托，拟对</w:t>
      </w:r>
      <w:r>
        <w:rPr>
          <w:rFonts w:ascii="仿宋_GB2312" w:hAnsi="仿宋_GB2312" w:cs="仿宋_GB2312" w:eastAsia="仿宋_GB2312"/>
        </w:rPr>
        <w:t>战略性矿产资源勘查和地热资源调查评价新开项目(二次)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SXMF-2025-117.3B1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战略性矿产资源勘查和地热资源调查评价新开项目(二次)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战略性矿产资源勘查和地热资源调查评价新开项目（二次）：包3：陕西省洛南县地热资源调查评价，通过地球物理勘查及地热地质专项调查，基本查明洛南县地热资源赋存规律与热源机制，圈定地热靶区，提出地热开发利用区划建议，为地方经济及特色产业发展提供技术支撑。</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采购包1（陕西省洛南县地热资源调查评价）：属于专门面向中小企业采购。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1、法定代表人授权委托书：法定代表人直接参加投标的，须提供法定代表人身份证明(附法人身份证复印件）；法定代表人授权代表参加投标的，须提供法定代表人授权委托书(附法人及被授权人身份证复印件）；</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记录名单。（提供网站截图，加盖供应商公章或电子章，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pPr>
      <w:r>
        <w:rPr>
          <w:rFonts w:ascii="仿宋_GB2312" w:hAnsi="仿宋_GB2312" w:cs="仿宋_GB2312" w:eastAsia="仿宋_GB2312"/>
        </w:rPr>
        <w:t>3、信用记录：按照《自然资源部办公厅关于建好用好全国地质勘查行业监管服务平台的通知》（自然资办发〔2023〕7号）要求，在地质勘查、地质灾害防治、生态保护修复等有关财政出资项目招投标、政府采购、项目委托等工作中，应通过监管服务平台（https://dkjgfw.mnr.gov.cn/）查询地质勘查单位的单位信息，且未被列入异常名录及严重失信主体名单。（提供网站截图，加盖供应商公章或电子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陕西省自然资源厅</w:t>
      </w:r>
    </w:p>
    <w:p>
      <w:pPr>
        <w:pStyle w:val="null3"/>
      </w:pPr>
      <w:r>
        <w:rPr>
          <w:rFonts w:ascii="仿宋_GB2312" w:hAnsi="仿宋_GB2312" w:cs="仿宋_GB2312" w:eastAsia="仿宋_GB2312"/>
        </w:rPr>
        <w:t xml:space="preserve"> 地址： </w:t>
      </w:r>
      <w:r>
        <w:rPr>
          <w:rFonts w:ascii="仿宋_GB2312" w:hAnsi="仿宋_GB2312" w:cs="仿宋_GB2312" w:eastAsia="仿宋_GB2312"/>
        </w:rPr>
        <w:t>劳动南路180号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张树森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029-84333267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陕西铭帆项目管理有限公司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陕西省西安市未央区明光路龙腾半导体产业园B座307室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张琼超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18166684044</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采购包1：2,550,000.00元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代理服务费收费标准：参照原国家计委计价格〔2002〕1980 号文和国家发改委发改办价格〔2003〕857 号文的计算方法收取中标单位的招标代理服务费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陕西省自然资源厅</w:t>
      </w:r>
      <w:r>
        <w:rPr>
          <w:rFonts w:ascii="仿宋_GB2312" w:hAnsi="仿宋_GB2312" w:cs="仿宋_GB2312" w:eastAsia="仿宋_GB2312"/>
        </w:rPr>
        <w:t>和</w:t>
      </w:r>
      <w:r>
        <w:rPr>
          <w:rFonts w:ascii="仿宋_GB2312" w:hAnsi="仿宋_GB2312" w:cs="仿宋_GB2312" w:eastAsia="仿宋_GB2312"/>
        </w:rPr>
        <w:t>陕西铭帆项目管理有限公司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陕西省自然资源厅</w:t>
      </w:r>
      <w:r>
        <w:rPr>
          <w:rFonts w:ascii="仿宋_GB2312" w:hAnsi="仿宋_GB2312" w:cs="仿宋_GB2312" w:eastAsia="仿宋_GB2312"/>
        </w:rPr>
        <w:t>负责解释。除上述招标文件内容，其他内容由</w:t>
      </w:r>
      <w:r>
        <w:rPr>
          <w:rFonts w:ascii="仿宋_GB2312" w:hAnsi="仿宋_GB2312" w:cs="仿宋_GB2312" w:eastAsia="仿宋_GB2312"/>
        </w:rPr>
        <w:t>陕西铭帆项目管理有限公司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陕西省自然资源厅</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陕西铭帆项目管理有限公司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1）服务期满后，采购人对本项目整体实施情况进行验收，确认服务标准和服务方式是否达到采购要求（必要时可委托技术专家对项目进行验收） 2）验收依据：招标文件、投标文件、澄清函，合同及附件文本，任务书、设计文本、变更批复，国家及行业现行的标准和技术规范。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陕西铭帆项目管理有限公司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陕西铭帆项目管理有限公司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陕西铭帆项目管理有限公司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联系人：陕西铭帆项目管理有限公司</w:t>
      </w:r>
    </w:p>
    <w:p>
      <w:pPr>
        <w:pStyle w:val="null3"/>
      </w:pPr>
      <w:r>
        <w:rPr>
          <w:rFonts w:ascii="仿宋_GB2312" w:hAnsi="仿宋_GB2312" w:cs="仿宋_GB2312" w:eastAsia="仿宋_GB2312"/>
        </w:rPr>
        <w:t>联系电话：029-88010883</w:t>
      </w:r>
    </w:p>
    <w:p>
      <w:pPr>
        <w:pStyle w:val="null3"/>
      </w:pPr>
      <w:r>
        <w:rPr>
          <w:rFonts w:ascii="仿宋_GB2312" w:hAnsi="仿宋_GB2312" w:cs="仿宋_GB2312" w:eastAsia="仿宋_GB2312"/>
        </w:rPr>
        <w:t>地址：陕西省西安市未央区明光路龙腾半导体产业园B座307室</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战略性矿产资源勘查和地热资源调查评价新开项目（二次）；主要功能或目标：包3：陕西省洛南县地热资源调查评价，通过地球物理勘查及地热地质专项调查，基本查明洛南县地热资源赋存规律与热源机制，圈定地热靶区，提出地热开发利用区划建议，为地方经济及特色产业发展提供技术支撑。</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2,550,000.00</w:t>
      </w:r>
    </w:p>
    <w:p>
      <w:pPr>
        <w:pStyle w:val="null3"/>
      </w:pPr>
      <w:r>
        <w:rPr>
          <w:rFonts w:ascii="仿宋_GB2312" w:hAnsi="仿宋_GB2312" w:cs="仿宋_GB2312" w:eastAsia="仿宋_GB2312"/>
        </w:rPr>
        <w:t>采购包最高限价（元）: 2,550,000.00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战略性矿产资源勘查和地热资源调查评价新开项目（包3）</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标的名称：战略性矿产资源勘查和地热资源调查评价新开项目（包3）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8"/>
                <w:color w:val="000000"/>
              </w:rPr>
              <w:t>战略性矿产资源勘查和地热资源调查评价新开项目</w:t>
            </w:r>
          </w:p>
          <w:p>
            <w:pPr>
              <w:pStyle w:val="null3"/>
              <w:jc w:val="center"/>
            </w:pPr>
            <w:r>
              <w:rPr>
                <w:rFonts w:ascii="仿宋_GB2312" w:hAnsi="仿宋_GB2312" w:cs="仿宋_GB2312" w:eastAsia="仿宋_GB2312"/>
                <w:sz w:val="18"/>
                <w:color w:val="000000"/>
              </w:rPr>
              <w:t>技术要求</w:t>
            </w:r>
          </w:p>
          <w:p>
            <w:pPr>
              <w:pStyle w:val="null3"/>
              <w:jc w:val="both"/>
            </w:pPr>
            <w:r>
              <w:rPr>
                <w:rFonts w:ascii="仿宋_GB2312" w:hAnsi="仿宋_GB2312" w:cs="仿宋_GB2312" w:eastAsia="仿宋_GB2312"/>
                <w:sz w:val="18"/>
                <w:b/>
              </w:rPr>
              <w:t>一、项目概况</w:t>
            </w:r>
          </w:p>
          <w:p>
            <w:pPr>
              <w:pStyle w:val="null3"/>
              <w:ind w:firstLine="883"/>
              <w:jc w:val="both"/>
            </w:pPr>
            <w:r>
              <w:rPr>
                <w:rFonts w:ascii="仿宋_GB2312" w:hAnsi="仿宋_GB2312" w:cs="仿宋_GB2312" w:eastAsia="仿宋_GB2312"/>
                <w:sz w:val="18"/>
              </w:rPr>
              <w:t>战略性矿产资源勘查和地热资源调查评价新开项目；主要功能或目标：</w:t>
            </w:r>
          </w:p>
          <w:p>
            <w:pPr>
              <w:pStyle w:val="null3"/>
              <w:ind w:firstLine="883"/>
              <w:jc w:val="both"/>
            </w:pPr>
            <w:r>
              <w:rPr>
                <w:rFonts w:ascii="仿宋_GB2312" w:hAnsi="仿宋_GB2312" w:cs="仿宋_GB2312" w:eastAsia="仿宋_GB2312"/>
                <w:sz w:val="18"/>
              </w:rPr>
              <w:t>采购包3：陕西省洛南县地热资源调查评价，通过地球物理勘查及地热地质专项调查，基本查明洛南县地热资源赋存规律与热源机制，圈定地热靶区，提出地热开发利用区划建议，为地方经济及特色产业发展提供技术支撑。</w:t>
            </w:r>
          </w:p>
          <w:p>
            <w:pPr>
              <w:pStyle w:val="null3"/>
              <w:jc w:val="both"/>
            </w:pPr>
            <w:r>
              <w:rPr>
                <w:rFonts w:ascii="仿宋_GB2312" w:hAnsi="仿宋_GB2312" w:cs="仿宋_GB2312" w:eastAsia="仿宋_GB2312"/>
                <w:sz w:val="18"/>
                <w:b/>
              </w:rPr>
              <w:t>二、服务范围</w:t>
            </w:r>
          </w:p>
          <w:p>
            <w:pPr>
              <w:pStyle w:val="null3"/>
              <w:ind w:firstLine="883"/>
              <w:jc w:val="both"/>
            </w:pPr>
            <w:r>
              <w:rPr>
                <w:rFonts w:ascii="仿宋_GB2312" w:hAnsi="仿宋_GB2312" w:cs="仿宋_GB2312" w:eastAsia="仿宋_GB2312"/>
                <w:sz w:val="18"/>
              </w:rPr>
              <w:t>每个标段均为矿业权空白区，按照确定的拐点坐标（详见附件1：陕西省2025年第二批新开找矿项目计划表）和勘查矿种进行勘查作业，勘查过程中注意综合勘查、不得越界勘查、不得以采代探。</w:t>
            </w:r>
          </w:p>
          <w:p>
            <w:pPr>
              <w:pStyle w:val="null3"/>
              <w:jc w:val="both"/>
            </w:pPr>
            <w:r>
              <w:rPr>
                <w:rFonts w:ascii="仿宋_GB2312" w:hAnsi="仿宋_GB2312" w:cs="仿宋_GB2312" w:eastAsia="仿宋_GB2312"/>
                <w:sz w:val="18"/>
                <w:b/>
              </w:rPr>
              <w:t>三、服务标准、依据</w:t>
            </w:r>
          </w:p>
          <w:p>
            <w:pPr>
              <w:pStyle w:val="null3"/>
              <w:ind w:firstLine="883"/>
              <w:jc w:val="both"/>
            </w:pPr>
            <w:r>
              <w:rPr>
                <w:rFonts w:ascii="仿宋_GB2312" w:hAnsi="仿宋_GB2312" w:cs="仿宋_GB2312" w:eastAsia="仿宋_GB2312"/>
                <w:sz w:val="18"/>
              </w:rPr>
              <w:t>1.《固体矿产地质勘查报告编写规范》DZ.T0033-2020</w:t>
            </w:r>
          </w:p>
          <w:p>
            <w:pPr>
              <w:pStyle w:val="null3"/>
              <w:ind w:firstLine="883"/>
              <w:jc w:val="both"/>
            </w:pPr>
            <w:r>
              <w:rPr>
                <w:rFonts w:ascii="仿宋_GB2312" w:hAnsi="仿宋_GB2312" w:cs="仿宋_GB2312" w:eastAsia="仿宋_GB2312"/>
                <w:sz w:val="18"/>
              </w:rPr>
              <w:t>2.《固体矿产地质勘查规范总则》(GB/T13908-2020)</w:t>
            </w:r>
          </w:p>
          <w:p>
            <w:pPr>
              <w:pStyle w:val="null3"/>
              <w:ind w:firstLine="883"/>
              <w:jc w:val="both"/>
            </w:pPr>
            <w:r>
              <w:rPr>
                <w:rFonts w:ascii="仿宋_GB2312" w:hAnsi="仿宋_GB2312" w:cs="仿宋_GB2312" w:eastAsia="仿宋_GB2312"/>
                <w:sz w:val="18"/>
              </w:rPr>
              <w:t>3.《地质调查岩心钻探技术规程（试行）》DD2010-01</w:t>
            </w:r>
          </w:p>
          <w:p>
            <w:pPr>
              <w:pStyle w:val="null3"/>
              <w:ind w:firstLine="883"/>
              <w:jc w:val="both"/>
            </w:pPr>
            <w:r>
              <w:rPr>
                <w:rFonts w:ascii="仿宋_GB2312" w:hAnsi="仿宋_GB2312" w:cs="仿宋_GB2312" w:eastAsia="仿宋_GB2312"/>
                <w:sz w:val="18"/>
              </w:rPr>
              <w:t>4.《地热资源地质勘查规范》DZ/T0212-2020</w:t>
            </w:r>
          </w:p>
          <w:p>
            <w:pPr>
              <w:pStyle w:val="null3"/>
              <w:ind w:firstLine="883"/>
              <w:jc w:val="both"/>
            </w:pPr>
            <w:r>
              <w:rPr>
                <w:rFonts w:ascii="仿宋_GB2312" w:hAnsi="仿宋_GB2312" w:cs="仿宋_GB2312" w:eastAsia="仿宋_GB2312"/>
                <w:sz w:val="18"/>
              </w:rPr>
              <w:t>5.《固体矿产资源储量分类》GB/T17766-2020</w:t>
            </w:r>
          </w:p>
          <w:p>
            <w:pPr>
              <w:pStyle w:val="null3"/>
              <w:ind w:firstLine="883"/>
              <w:jc w:val="both"/>
            </w:pPr>
            <w:r>
              <w:rPr>
                <w:rFonts w:ascii="仿宋_GB2312" w:hAnsi="仿宋_GB2312" w:cs="仿宋_GB2312" w:eastAsia="仿宋_GB2312"/>
                <w:sz w:val="18"/>
              </w:rPr>
              <w:t>6.《固体矿产勘查原始地质编录规定》（DZ/T 0078-2015）</w:t>
            </w:r>
          </w:p>
          <w:p>
            <w:pPr>
              <w:pStyle w:val="null3"/>
              <w:ind w:firstLine="883"/>
              <w:jc w:val="both"/>
            </w:pPr>
            <w:r>
              <w:rPr>
                <w:rFonts w:ascii="仿宋_GB2312" w:hAnsi="仿宋_GB2312" w:cs="仿宋_GB2312" w:eastAsia="仿宋_GB2312"/>
                <w:sz w:val="18"/>
              </w:rPr>
              <w:t>7.地质调查预算标准（2021）</w:t>
            </w:r>
          </w:p>
          <w:p>
            <w:pPr>
              <w:pStyle w:val="null3"/>
              <w:ind w:firstLine="883"/>
              <w:jc w:val="both"/>
            </w:pPr>
            <w:r>
              <w:rPr>
                <w:rFonts w:ascii="仿宋_GB2312" w:hAnsi="仿宋_GB2312" w:cs="仿宋_GB2312" w:eastAsia="仿宋_GB2312"/>
                <w:sz w:val="18"/>
              </w:rPr>
              <w:t>其他国家、行业涉及的规范、标准、依据等。</w:t>
            </w:r>
          </w:p>
          <w:p>
            <w:pPr>
              <w:pStyle w:val="null3"/>
              <w:jc w:val="both"/>
            </w:pPr>
            <w:r>
              <w:rPr>
                <w:rFonts w:ascii="仿宋_GB2312" w:hAnsi="仿宋_GB2312" w:cs="仿宋_GB2312" w:eastAsia="仿宋_GB2312"/>
                <w:sz w:val="18"/>
                <w:b/>
              </w:rPr>
              <w:t>四、工作内容</w:t>
            </w:r>
          </w:p>
          <w:p>
            <w:pPr>
              <w:pStyle w:val="null3"/>
              <w:ind w:firstLine="883"/>
              <w:jc w:val="both"/>
            </w:pPr>
            <w:r>
              <w:rPr>
                <w:rFonts w:ascii="仿宋_GB2312" w:hAnsi="仿宋_GB2312" w:cs="仿宋_GB2312" w:eastAsia="仿宋_GB2312"/>
                <w:sz w:val="18"/>
              </w:rPr>
              <w:t>采购包3：陕西省洛南县地热资源调查评价。通过地球物理勘查及地热地质专项调查，基本查明洛南县地热地质条件，研究地热资源分布规律和热源机制，评价洛南县地热资源潜力。主要实物工作量：1：2.5万专项地热地质测量200平方千米，1：1万地热地质剖面测量30千米，1：1万氡气剖面测量30千米，广域大地电磁测深300点。预期提交地热靶区2-3处。</w:t>
            </w:r>
          </w:p>
          <w:p>
            <w:pPr>
              <w:pStyle w:val="null3"/>
              <w:jc w:val="both"/>
            </w:pPr>
            <w:r>
              <w:rPr>
                <w:rFonts w:ascii="仿宋_GB2312" w:hAnsi="仿宋_GB2312" w:cs="仿宋_GB2312" w:eastAsia="仿宋_GB2312"/>
                <w:sz w:val="18"/>
                <w:b/>
              </w:rPr>
              <w:t>五、成果交付要求</w:t>
            </w:r>
          </w:p>
          <w:p>
            <w:pPr>
              <w:pStyle w:val="null3"/>
              <w:ind w:firstLine="883"/>
              <w:jc w:val="both"/>
            </w:pPr>
            <w:r>
              <w:rPr>
                <w:rFonts w:ascii="仿宋_GB2312" w:hAnsi="仿宋_GB2312" w:cs="仿宋_GB2312" w:eastAsia="仿宋_GB2312"/>
                <w:sz w:val="18"/>
              </w:rPr>
              <w:t>根据服务阶段向采购单位提交成果资料：包含但不仅限于项目设计、阶段性总结、成果报告及相应的附图、附表、附件。汇交的成果地质资料应包括成果地质资料汇交细目和自然资源行政主管部门规定应向国家汇交的全部文件材料以及保证其使用的相关文件材料。</w:t>
            </w:r>
          </w:p>
          <w:p>
            <w:pPr>
              <w:pStyle w:val="null3"/>
              <w:ind w:firstLine="880"/>
              <w:jc w:val="both"/>
            </w:pPr>
            <w:r>
              <w:rPr>
                <w:rFonts w:ascii="仿宋_GB2312" w:hAnsi="仿宋_GB2312" w:cs="仿宋_GB2312" w:eastAsia="仿宋_GB2312"/>
                <w:sz w:val="18"/>
              </w:rPr>
              <w:t>附件1：陕西省2025年第二批新开找矿项目计划表</w:t>
            </w:r>
          </w:p>
          <w:tbl>
            <w:tblPr>
              <w:tblInd w:type="dxa" w:w="135"/>
              <w:tblBorders>
                <w:top w:val="none" w:color="000000" w:sz="4"/>
                <w:left w:val="none" w:color="000000" w:sz="4"/>
                <w:bottom w:val="none" w:color="000000" w:sz="4"/>
                <w:right w:val="none" w:color="000000" w:sz="4"/>
                <w:insideH w:val="none"/>
                <w:insideV w:val="none"/>
              </w:tblBorders>
            </w:tblPr>
            <w:tblGrid>
              <w:gridCol w:w="115"/>
              <w:gridCol w:w="396"/>
              <w:gridCol w:w="582"/>
              <w:gridCol w:w="150"/>
              <w:gridCol w:w="134"/>
              <w:gridCol w:w="150"/>
              <w:gridCol w:w="129"/>
              <w:gridCol w:w="140"/>
              <w:gridCol w:w="159"/>
              <w:gridCol w:w="124"/>
              <w:gridCol w:w="274"/>
              <w:gridCol w:w="175"/>
            </w:tblGrid>
            <w:tr>
              <w:tc>
                <w:tcPr>
                  <w:tcW w:type="dxa" w:w="2528"/>
                  <w:gridSpan w:val="12"/>
                  <w:tcBorders>
                    <w:top w:val="none" w:color="000000" w:sz="4"/>
                    <w:left w:val="none" w:color="000000" w:sz="4"/>
                    <w:bottom w:val="none" w:color="000000" w:sz="4"/>
                    <w:right w:val="none" w:color="000000" w:sz="4"/>
                  </w:tcBorders>
                  <w:tcMar>
                    <w:top w:type="dxa" w:w="15"/>
                    <w:left w:type="dxa" w:w="15"/>
                    <w:bottom w:type="dxa" w:w="0"/>
                    <w:right w:type="dxa" w:w="15"/>
                  </w:tcMar>
                  <w:vAlign w:val="bottom"/>
                </w:tcPr>
                <w:p>
                  <w:pPr>
                    <w:pStyle w:val="null3"/>
                    <w:jc w:val="both"/>
                  </w:pPr>
                  <w:r>
                    <w:rPr>
                      <w:rFonts w:ascii="仿宋_GB2312" w:hAnsi="仿宋_GB2312" w:cs="仿宋_GB2312" w:eastAsia="仿宋_GB2312"/>
                      <w:sz w:val="18"/>
                      <w:color w:val="000000"/>
                    </w:rPr>
                    <w:t>附件</w:t>
                  </w:r>
                  <w:r>
                    <w:rPr>
                      <w:rFonts w:ascii="仿宋_GB2312" w:hAnsi="仿宋_GB2312" w:cs="仿宋_GB2312" w:eastAsia="仿宋_GB2312"/>
                      <w:sz w:val="18"/>
                      <w:color w:val="000000"/>
                    </w:rPr>
                    <w:t>1</w:t>
                  </w:r>
                </w:p>
              </w:tc>
            </w:tr>
            <w:tr>
              <w:tc>
                <w:tcPr>
                  <w:tcW w:type="dxa" w:w="2528"/>
                  <w:gridSpan w:val="12"/>
                  <w:tcBorders>
                    <w:top w:val="none" w:color="000000" w:sz="4"/>
                    <w:left w:val="none" w:color="000000" w:sz="4"/>
                    <w:bottom w:val="none" w:color="000000" w:sz="4"/>
                    <w:right w:val="non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陕西省202</w:t>
                  </w:r>
                  <w:r>
                    <w:rPr>
                      <w:rFonts w:ascii="仿宋_GB2312" w:hAnsi="仿宋_GB2312" w:cs="仿宋_GB2312" w:eastAsia="仿宋_GB2312"/>
                      <w:sz w:val="18"/>
                      <w:color w:val="000000"/>
                    </w:rPr>
                    <w:t>5</w:t>
                  </w:r>
                  <w:r>
                    <w:rPr>
                      <w:rFonts w:ascii="仿宋_GB2312" w:hAnsi="仿宋_GB2312" w:cs="仿宋_GB2312" w:eastAsia="仿宋_GB2312"/>
                      <w:sz w:val="18"/>
                      <w:color w:val="000000"/>
                    </w:rPr>
                    <w:t>年</w:t>
                  </w:r>
                  <w:r>
                    <w:rPr>
                      <w:rFonts w:ascii="仿宋_GB2312" w:hAnsi="仿宋_GB2312" w:cs="仿宋_GB2312" w:eastAsia="仿宋_GB2312"/>
                      <w:sz w:val="18"/>
                      <w:color w:val="000000"/>
                    </w:rPr>
                    <w:t>第二批新开找矿</w:t>
                  </w:r>
                  <w:r>
                    <w:rPr>
                      <w:rFonts w:ascii="仿宋_GB2312" w:hAnsi="仿宋_GB2312" w:cs="仿宋_GB2312" w:eastAsia="仿宋_GB2312"/>
                      <w:sz w:val="18"/>
                      <w:color w:val="000000"/>
                    </w:rPr>
                    <w:t>项目计划表</w:t>
                  </w:r>
                </w:p>
              </w:tc>
            </w:tr>
            <w:tr>
              <w:tc>
                <w:tcPr>
                  <w:tcW w:type="dxa" w:w="115"/>
                  <w:vMerge w:val="restart"/>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标段</w:t>
                  </w:r>
                </w:p>
                <w:p>
                  <w:pPr>
                    <w:pStyle w:val="null3"/>
                    <w:jc w:val="center"/>
                  </w:pPr>
                  <w:r>
                    <w:rPr>
                      <w:rFonts w:ascii="仿宋_GB2312" w:hAnsi="仿宋_GB2312" w:cs="仿宋_GB2312" w:eastAsia="仿宋_GB2312"/>
                      <w:sz w:val="18"/>
                      <w:b/>
                      <w:color w:val="000000"/>
                    </w:rPr>
                    <w:t>序号</w:t>
                  </w:r>
                </w:p>
              </w:tc>
              <w:tc>
                <w:tcPr>
                  <w:tcW w:type="dxa" w:w="396"/>
                  <w:vMerge w:val="restart"/>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标段名称</w:t>
                  </w:r>
                </w:p>
              </w:tc>
              <w:tc>
                <w:tcPr>
                  <w:tcW w:type="dxa" w:w="582"/>
                  <w:vMerge w:val="restart"/>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拐点坐标（2000国家大地坐标系）</w:t>
                  </w:r>
                </w:p>
              </w:tc>
              <w:tc>
                <w:tcPr>
                  <w:tcW w:type="dxa" w:w="150"/>
                  <w:vMerge w:val="restart"/>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面积</w:t>
                  </w:r>
                </w:p>
                <w:p>
                  <w:pPr>
                    <w:pStyle w:val="null3"/>
                    <w:jc w:val="center"/>
                  </w:pPr>
                  <w:r>
                    <w:rPr>
                      <w:rFonts w:ascii="仿宋_GB2312" w:hAnsi="仿宋_GB2312" w:cs="仿宋_GB2312" w:eastAsia="仿宋_GB2312"/>
                      <w:sz w:val="18"/>
                      <w:b/>
                      <w:color w:val="000000"/>
                    </w:rPr>
                    <w:t>（km</w:t>
                  </w:r>
                  <w:r>
                    <w:rPr>
                      <w:rFonts w:ascii="仿宋_GB2312" w:hAnsi="仿宋_GB2312" w:cs="仿宋_GB2312" w:eastAsia="仿宋_GB2312"/>
                      <w:sz w:val="18"/>
                      <w:b/>
                      <w:color w:val="000000"/>
                      <w:vertAlign w:val="superscript"/>
                    </w:rPr>
                    <w:t>2</w:t>
                  </w:r>
                  <w:r>
                    <w:rPr>
                      <w:rFonts w:ascii="仿宋_GB2312" w:hAnsi="仿宋_GB2312" w:cs="仿宋_GB2312" w:eastAsia="仿宋_GB2312"/>
                      <w:sz w:val="18"/>
                      <w:b/>
                      <w:color w:val="000000"/>
                    </w:rPr>
                    <w:t>）</w:t>
                  </w:r>
                </w:p>
              </w:tc>
              <w:tc>
                <w:tcPr>
                  <w:tcW w:type="dxa" w:w="134"/>
                  <w:vMerge w:val="restart"/>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工作</w:t>
                  </w:r>
                </w:p>
                <w:p>
                  <w:pPr>
                    <w:pStyle w:val="null3"/>
                    <w:jc w:val="center"/>
                  </w:pPr>
                  <w:r>
                    <w:rPr>
                      <w:rFonts w:ascii="仿宋_GB2312" w:hAnsi="仿宋_GB2312" w:cs="仿宋_GB2312" w:eastAsia="仿宋_GB2312"/>
                      <w:sz w:val="18"/>
                      <w:b/>
                      <w:color w:val="000000"/>
                    </w:rPr>
                    <w:t>性质</w:t>
                  </w:r>
                </w:p>
              </w:tc>
              <w:tc>
                <w:tcPr>
                  <w:tcW w:type="dxa" w:w="150"/>
                  <w:vMerge w:val="restart"/>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工作</w:t>
                  </w:r>
                </w:p>
                <w:p>
                  <w:pPr>
                    <w:pStyle w:val="null3"/>
                    <w:jc w:val="center"/>
                  </w:pPr>
                  <w:r>
                    <w:rPr>
                      <w:rFonts w:ascii="仿宋_GB2312" w:hAnsi="仿宋_GB2312" w:cs="仿宋_GB2312" w:eastAsia="仿宋_GB2312"/>
                      <w:sz w:val="18"/>
                      <w:b/>
                      <w:color w:val="000000"/>
                    </w:rPr>
                    <w:t>年度</w:t>
                  </w:r>
                </w:p>
              </w:tc>
              <w:tc>
                <w:tcPr>
                  <w:tcW w:type="dxa" w:w="428"/>
                  <w:gridSpan w:val="3"/>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主要工作量</w:t>
                  </w:r>
                </w:p>
              </w:tc>
              <w:tc>
                <w:tcPr>
                  <w:tcW w:type="dxa" w:w="124"/>
                  <w:vMerge w:val="restart"/>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矿种</w:t>
                  </w:r>
                </w:p>
              </w:tc>
              <w:tc>
                <w:tcPr>
                  <w:tcW w:type="dxa" w:w="274"/>
                  <w:vMerge w:val="restart"/>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预期成果</w:t>
                  </w:r>
                </w:p>
              </w:tc>
              <w:tc>
                <w:tcPr>
                  <w:tcW w:type="dxa" w:w="175"/>
                  <w:vMerge w:val="restart"/>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预算经费</w:t>
                  </w:r>
                </w:p>
                <w:p>
                  <w:pPr>
                    <w:pStyle w:val="null3"/>
                    <w:jc w:val="center"/>
                  </w:pPr>
                  <w:r>
                    <w:rPr>
                      <w:rFonts w:ascii="仿宋_GB2312" w:hAnsi="仿宋_GB2312" w:cs="仿宋_GB2312" w:eastAsia="仿宋_GB2312"/>
                      <w:sz w:val="18"/>
                      <w:b/>
                      <w:color w:val="000000"/>
                    </w:rPr>
                    <w:t>(万元)</w:t>
                  </w:r>
                </w:p>
              </w:tc>
            </w:tr>
            <w:tr>
              <w:tc>
                <w:tcPr>
                  <w:tcW w:type="dxa" w:w="115"/>
                  <w:vMerge/>
                  <w:tcBorders>
                    <w:top w:val="single" w:color="000000" w:sz="4"/>
                    <w:left w:val="single" w:color="000000" w:sz="4"/>
                    <w:bottom w:val="single" w:color="000000" w:sz="4"/>
                    <w:right w:val="single" w:color="000000" w:sz="4"/>
                  </w:tcBorders>
                </w:tcPr>
                <w:p/>
              </w:tc>
              <w:tc>
                <w:tcPr>
                  <w:tcW w:type="dxa" w:w="396"/>
                  <w:vMerge/>
                  <w:tcBorders>
                    <w:top w:val="single" w:color="000000" w:sz="4"/>
                    <w:left w:val="none" w:color="000000" w:sz="4"/>
                    <w:bottom w:val="single" w:color="000000" w:sz="4"/>
                    <w:right w:val="single" w:color="000000" w:sz="4"/>
                  </w:tcBorders>
                </w:tcPr>
                <w:p/>
              </w:tc>
              <w:tc>
                <w:tcPr>
                  <w:tcW w:type="dxa" w:w="582"/>
                  <w:vMerge/>
                  <w:tcBorders>
                    <w:top w:val="single" w:color="000000" w:sz="4"/>
                    <w:left w:val="none" w:color="000000" w:sz="4"/>
                    <w:bottom w:val="single" w:color="000000" w:sz="4"/>
                    <w:right w:val="single" w:color="000000" w:sz="4"/>
                  </w:tcBorders>
                </w:tcPr>
                <w:p/>
              </w:tc>
              <w:tc>
                <w:tcPr>
                  <w:tcW w:type="dxa" w:w="150"/>
                  <w:vMerge/>
                  <w:tcBorders>
                    <w:top w:val="single" w:color="000000" w:sz="4"/>
                    <w:left w:val="none" w:color="000000" w:sz="4"/>
                    <w:bottom w:val="single" w:color="000000" w:sz="4"/>
                    <w:right w:val="single" w:color="000000" w:sz="4"/>
                  </w:tcBorders>
                </w:tcPr>
                <w:p/>
              </w:tc>
              <w:tc>
                <w:tcPr>
                  <w:tcW w:type="dxa" w:w="134"/>
                  <w:vMerge/>
                  <w:tcBorders>
                    <w:top w:val="single" w:color="000000" w:sz="4"/>
                    <w:left w:val="none" w:color="000000" w:sz="4"/>
                    <w:bottom w:val="single" w:color="000000" w:sz="4"/>
                    <w:right w:val="single" w:color="000000" w:sz="4"/>
                  </w:tcBorders>
                </w:tcPr>
                <w:p/>
              </w:tc>
              <w:tc>
                <w:tcPr>
                  <w:tcW w:type="dxa" w:w="150"/>
                  <w:vMerge/>
                  <w:tcBorders>
                    <w:top w:val="single" w:color="000000" w:sz="4"/>
                    <w:left w:val="none" w:color="000000" w:sz="4"/>
                    <w:bottom w:val="single" w:color="000000" w:sz="4"/>
                    <w:right w:val="single" w:color="000000" w:sz="4"/>
                  </w:tcBorders>
                </w:tcPr>
                <w:p/>
              </w:tc>
              <w:tc>
                <w:tcPr>
                  <w:tcW w:type="dxa" w:w="1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钻探</w:t>
                  </w:r>
                </w:p>
                <w:p>
                  <w:pPr>
                    <w:pStyle w:val="null3"/>
                    <w:jc w:val="center"/>
                  </w:pPr>
                  <w:r>
                    <w:rPr>
                      <w:rFonts w:ascii="仿宋_GB2312" w:hAnsi="仿宋_GB2312" w:cs="仿宋_GB2312" w:eastAsia="仿宋_GB2312"/>
                      <w:sz w:val="18"/>
                      <w:b/>
                      <w:color w:val="000000"/>
                    </w:rPr>
                    <w:t>（m）</w:t>
                  </w:r>
                </w:p>
              </w:tc>
              <w:tc>
                <w:tcPr>
                  <w:tcW w:type="dxa" w:w="14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浅钻</w:t>
                  </w:r>
                </w:p>
                <w:p>
                  <w:pPr>
                    <w:pStyle w:val="null3"/>
                    <w:jc w:val="center"/>
                  </w:pPr>
                  <w:r>
                    <w:rPr>
                      <w:rFonts w:ascii="仿宋_GB2312" w:hAnsi="仿宋_GB2312" w:cs="仿宋_GB2312" w:eastAsia="仿宋_GB2312"/>
                      <w:sz w:val="18"/>
                      <w:b/>
                      <w:color w:val="000000"/>
                    </w:rPr>
                    <w:t>（m)</w:t>
                  </w:r>
                </w:p>
              </w:tc>
              <w:tc>
                <w:tcPr>
                  <w:tcW w:type="dxa" w:w="1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槽探</w:t>
                  </w:r>
                </w:p>
                <w:p>
                  <w:pPr>
                    <w:pStyle w:val="null3"/>
                    <w:jc w:val="center"/>
                  </w:pPr>
                  <w:r>
                    <w:rPr>
                      <w:rFonts w:ascii="仿宋_GB2312" w:hAnsi="仿宋_GB2312" w:cs="仿宋_GB2312" w:eastAsia="仿宋_GB2312"/>
                      <w:sz w:val="18"/>
                      <w:b/>
                      <w:color w:val="000000"/>
                    </w:rPr>
                    <w:t>（m</w:t>
                  </w:r>
                  <w:r>
                    <w:rPr>
                      <w:rFonts w:ascii="仿宋_GB2312" w:hAnsi="仿宋_GB2312" w:cs="仿宋_GB2312" w:eastAsia="仿宋_GB2312"/>
                      <w:sz w:val="18"/>
                      <w:b/>
                      <w:color w:val="000000"/>
                      <w:vertAlign w:val="superscript"/>
                    </w:rPr>
                    <w:t>3</w:t>
                  </w:r>
                  <w:r>
                    <w:rPr>
                      <w:rFonts w:ascii="仿宋_GB2312" w:hAnsi="仿宋_GB2312" w:cs="仿宋_GB2312" w:eastAsia="仿宋_GB2312"/>
                      <w:sz w:val="18"/>
                      <w:b/>
                      <w:color w:val="000000"/>
                    </w:rPr>
                    <w:t>）</w:t>
                  </w:r>
                </w:p>
              </w:tc>
              <w:tc>
                <w:tcPr>
                  <w:tcW w:type="dxa" w:w="124"/>
                  <w:vMerge/>
                  <w:tcBorders>
                    <w:top w:val="single" w:color="000000" w:sz="4"/>
                    <w:left w:val="none" w:color="000000" w:sz="4"/>
                    <w:bottom w:val="single" w:color="000000" w:sz="4"/>
                    <w:right w:val="single" w:color="000000" w:sz="4"/>
                  </w:tcBorders>
                </w:tcPr>
                <w:p/>
              </w:tc>
              <w:tc>
                <w:tcPr>
                  <w:tcW w:type="dxa" w:w="274"/>
                  <w:vMerge/>
                  <w:tcBorders>
                    <w:top w:val="single" w:color="000000" w:sz="4"/>
                    <w:left w:val="none" w:color="000000" w:sz="4"/>
                    <w:bottom w:val="single" w:color="000000" w:sz="4"/>
                    <w:right w:val="single" w:color="000000" w:sz="4"/>
                  </w:tcBorders>
                </w:tcPr>
                <w:p/>
              </w:tc>
              <w:tc>
                <w:tcPr>
                  <w:tcW w:type="dxa" w:w="175"/>
                  <w:vMerge/>
                  <w:tcBorders>
                    <w:top w:val="single" w:color="000000" w:sz="4"/>
                    <w:left w:val="none" w:color="000000" w:sz="4"/>
                    <w:bottom w:val="single" w:color="000000" w:sz="4"/>
                    <w:right w:val="single" w:color="000000" w:sz="4"/>
                  </w:tcBorders>
                </w:tcPr>
                <w:p/>
              </w:tc>
            </w:tr>
            <w:tr>
              <w:tc>
                <w:tcPr>
                  <w:tcW w:type="dxa" w:w="1527"/>
                  <w:gridSpan w:val="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合</w:t>
                  </w:r>
                  <w:r>
                    <w:rPr>
                      <w:rFonts w:ascii="仿宋_GB2312" w:hAnsi="仿宋_GB2312" w:cs="仿宋_GB2312" w:eastAsia="仿宋_GB2312"/>
                      <w:sz w:val="18"/>
                      <w:b/>
                    </w:rPr>
                    <w:t xml:space="preserve">  </w:t>
                  </w:r>
                  <w:r>
                    <w:rPr>
                      <w:rFonts w:ascii="仿宋_GB2312" w:hAnsi="仿宋_GB2312" w:cs="仿宋_GB2312" w:eastAsia="仿宋_GB2312"/>
                      <w:sz w:val="18"/>
                      <w:b/>
                      <w:color w:val="000000"/>
                    </w:rPr>
                    <w:t>计</w:t>
                  </w:r>
                </w:p>
              </w:tc>
              <w:tc>
                <w:tcPr>
                  <w:tcW w:type="dxa" w:w="1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4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rPr>
                    <w:t>600</w:t>
                  </w:r>
                </w:p>
              </w:tc>
              <w:tc>
                <w:tcPr>
                  <w:tcW w:type="dxa" w:w="1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rPr>
                    <w:t>2000</w:t>
                  </w:r>
                </w:p>
              </w:tc>
              <w:tc>
                <w:tcPr>
                  <w:tcW w:type="dxa" w:w="12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2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rPr>
                    <w:t>1104</w:t>
                  </w:r>
                </w:p>
              </w:tc>
            </w:tr>
            <w:tr>
              <w:tc>
                <w:tcPr>
                  <w:tcW w:type="dxa" w:w="1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1</w:t>
                  </w:r>
                </w:p>
              </w:tc>
              <w:tc>
                <w:tcPr>
                  <w:tcW w:type="dxa" w:w="3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陕西省凤县童家庄地区金铅锌多金属矿普查</w:t>
                  </w:r>
                </w:p>
              </w:tc>
              <w:tc>
                <w:tcPr>
                  <w:tcW w:type="dxa" w:w="5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rPr>
                    <w:t>106.4227,33.5900；106.4339,33.5900</w:t>
                  </w:r>
                </w:p>
                <w:p>
                  <w:pPr>
                    <w:pStyle w:val="null3"/>
                    <w:jc w:val="left"/>
                  </w:pPr>
                  <w:r>
                    <w:rPr>
                      <w:rFonts w:ascii="仿宋_GB2312" w:hAnsi="仿宋_GB2312" w:cs="仿宋_GB2312" w:eastAsia="仿宋_GB2312"/>
                      <w:sz w:val="18"/>
                    </w:rPr>
                    <w:t>106.4339,33.5808；106.4600,33.5808</w:t>
                  </w:r>
                </w:p>
                <w:p>
                  <w:pPr>
                    <w:pStyle w:val="null3"/>
                    <w:jc w:val="left"/>
                  </w:pPr>
                  <w:r>
                    <w:rPr>
                      <w:rFonts w:ascii="仿宋_GB2312" w:hAnsi="仿宋_GB2312" w:cs="仿宋_GB2312" w:eastAsia="仿宋_GB2312"/>
                      <w:sz w:val="18"/>
                    </w:rPr>
                    <w:t>106.4600,33.5656；106.4020,33.5656</w:t>
                  </w:r>
                </w:p>
                <w:p>
                  <w:pPr>
                    <w:pStyle w:val="null3"/>
                    <w:jc w:val="left"/>
                  </w:pPr>
                  <w:r>
                    <w:rPr>
                      <w:rFonts w:ascii="仿宋_GB2312" w:hAnsi="仿宋_GB2312" w:cs="仿宋_GB2312" w:eastAsia="仿宋_GB2312"/>
                      <w:sz w:val="18"/>
                    </w:rPr>
                    <w:t>0</w:t>
                  </w:r>
                  <w:r>
                    <w:rPr>
                      <w:rFonts w:ascii="仿宋_GB2312" w:hAnsi="仿宋_GB2312" w:cs="仿宋_GB2312" w:eastAsia="仿宋_GB2312"/>
                      <w:sz w:val="18"/>
                      <w:color w:val="000000"/>
                    </w:rPr>
                    <w:t>,</w:t>
                  </w:r>
                  <w:r>
                    <w:rPr>
                      <w:rFonts w:ascii="仿宋_GB2312" w:hAnsi="仿宋_GB2312" w:cs="仿宋_GB2312" w:eastAsia="仿宋_GB2312"/>
                      <w:sz w:val="18"/>
                    </w:rPr>
                    <w:t>0</w:t>
                  </w:r>
                </w:p>
              </w:tc>
              <w:tc>
                <w:tcPr>
                  <w:tcW w:type="dxa" w:w="1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21.3</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新开</w:t>
                  </w:r>
                </w:p>
              </w:tc>
              <w:tc>
                <w:tcPr>
                  <w:tcW w:type="dxa" w:w="1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2025</w:t>
                  </w:r>
                </w:p>
              </w:tc>
              <w:tc>
                <w:tcPr>
                  <w:tcW w:type="dxa" w:w="1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40"/>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300</w:t>
                  </w:r>
                </w:p>
              </w:tc>
              <w:tc>
                <w:tcPr>
                  <w:tcW w:type="dxa" w:w="159"/>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1000</w:t>
                  </w:r>
                </w:p>
              </w:tc>
              <w:tc>
                <w:tcPr>
                  <w:tcW w:type="dxa" w:w="12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金</w:t>
                  </w:r>
                </w:p>
              </w:tc>
              <w:tc>
                <w:tcPr>
                  <w:tcW w:type="dxa" w:w="274"/>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rPr>
                    <w:t>矿产地1处</w:t>
                  </w:r>
                </w:p>
              </w:tc>
              <w:tc>
                <w:tcPr>
                  <w:tcW w:type="dxa" w:w="175"/>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196</w:t>
                  </w:r>
                </w:p>
              </w:tc>
            </w:tr>
            <w:tr>
              <w:tc>
                <w:tcPr>
                  <w:tcW w:type="dxa" w:w="1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2</w:t>
                  </w:r>
                </w:p>
              </w:tc>
              <w:tc>
                <w:tcPr>
                  <w:tcW w:type="dxa" w:w="3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陕西省商洛市商州区灵官庙一带铜金矿普查</w:t>
                  </w:r>
                </w:p>
              </w:tc>
              <w:tc>
                <w:tcPr>
                  <w:tcW w:type="dxa" w:w="5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rPr>
                    <w:t>110.0816,33.5444；110.1533,33.5444</w:t>
                  </w:r>
                </w:p>
                <w:p>
                  <w:pPr>
                    <w:pStyle w:val="null3"/>
                    <w:jc w:val="left"/>
                  </w:pPr>
                  <w:r>
                    <w:rPr>
                      <w:rFonts w:ascii="仿宋_GB2312" w:hAnsi="仿宋_GB2312" w:cs="仿宋_GB2312" w:eastAsia="仿宋_GB2312"/>
                      <w:sz w:val="18"/>
                    </w:rPr>
                    <w:t>110.1533,33.5300；110.0816,33.5300</w:t>
                  </w:r>
                </w:p>
                <w:p>
                  <w:pPr>
                    <w:pStyle w:val="null3"/>
                    <w:jc w:val="left"/>
                  </w:pPr>
                  <w:r>
                    <w:rPr>
                      <w:rFonts w:ascii="仿宋_GB2312" w:hAnsi="仿宋_GB2312" w:cs="仿宋_GB2312" w:eastAsia="仿宋_GB2312"/>
                      <w:sz w:val="18"/>
                    </w:rPr>
                    <w:t>0,0</w:t>
                  </w:r>
                </w:p>
                <w:p>
                  <w:pPr>
                    <w:pStyle w:val="null3"/>
                    <w:jc w:val="left"/>
                  </w:pPr>
                  <w:r>
                    <w:rPr>
                      <w:rFonts w:ascii="仿宋_GB2312" w:hAnsi="仿宋_GB2312" w:cs="仿宋_GB2312" w:eastAsia="仿宋_GB2312"/>
                      <w:sz w:val="18"/>
                    </w:rPr>
                    <w:t>110.0901,33.5343；110.0930,33.5343</w:t>
                  </w:r>
                </w:p>
                <w:p>
                  <w:pPr>
                    <w:pStyle w:val="null3"/>
                    <w:jc w:val="left"/>
                  </w:pPr>
                  <w:r>
                    <w:rPr>
                      <w:rFonts w:ascii="仿宋_GB2312" w:hAnsi="仿宋_GB2312" w:cs="仿宋_GB2312" w:eastAsia="仿宋_GB2312"/>
                      <w:sz w:val="18"/>
                    </w:rPr>
                    <w:t>110.0930,33.5325；110.0901,33.5325</w:t>
                  </w:r>
                </w:p>
                <w:p>
                  <w:pPr>
                    <w:pStyle w:val="null3"/>
                    <w:jc w:val="left"/>
                  </w:pPr>
                  <w:r>
                    <w:rPr>
                      <w:rFonts w:ascii="仿宋_GB2312" w:hAnsi="仿宋_GB2312" w:cs="仿宋_GB2312" w:eastAsia="仿宋_GB2312"/>
                      <w:sz w:val="18"/>
                    </w:rPr>
                    <w:t>-1,0</w:t>
                  </w:r>
                </w:p>
                <w:p>
                  <w:pPr>
                    <w:pStyle w:val="null3"/>
                    <w:jc w:val="left"/>
                  </w:pPr>
                  <w:r>
                    <w:rPr>
                      <w:rFonts w:ascii="仿宋_GB2312" w:hAnsi="仿宋_GB2312" w:cs="仿宋_GB2312" w:eastAsia="仿宋_GB2312"/>
                      <w:sz w:val="18"/>
                    </w:rPr>
                    <w:t>110.1001,33.5346；110.1028,33.5346</w:t>
                  </w:r>
                </w:p>
                <w:p>
                  <w:pPr>
                    <w:pStyle w:val="null3"/>
                    <w:jc w:val="left"/>
                  </w:pPr>
                  <w:r>
                    <w:rPr>
                      <w:rFonts w:ascii="仿宋_GB2312" w:hAnsi="仿宋_GB2312" w:cs="仿宋_GB2312" w:eastAsia="仿宋_GB2312"/>
                      <w:sz w:val="18"/>
                    </w:rPr>
                    <w:t>110.1028,33.5311；110.0945,33.5311</w:t>
                  </w:r>
                </w:p>
                <w:p>
                  <w:pPr>
                    <w:pStyle w:val="null3"/>
                    <w:jc w:val="left"/>
                  </w:pPr>
                  <w:r>
                    <w:rPr>
                      <w:rFonts w:ascii="仿宋_GB2312" w:hAnsi="仿宋_GB2312" w:cs="仿宋_GB2312" w:eastAsia="仿宋_GB2312"/>
                      <w:sz w:val="18"/>
                    </w:rPr>
                    <w:t>110.0945,33.5330；110.1001,33.5330</w:t>
                  </w:r>
                </w:p>
                <w:p>
                  <w:pPr>
                    <w:pStyle w:val="null3"/>
                    <w:jc w:val="left"/>
                  </w:pPr>
                  <w:r>
                    <w:rPr>
                      <w:rFonts w:ascii="仿宋_GB2312" w:hAnsi="仿宋_GB2312" w:cs="仿宋_GB2312" w:eastAsia="仿宋_GB2312"/>
                      <w:sz w:val="18"/>
                    </w:rPr>
                    <w:t>-1,0</w:t>
                  </w:r>
                </w:p>
              </w:tc>
              <w:tc>
                <w:tcPr>
                  <w:tcW w:type="dxa" w:w="1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34.59</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新开</w:t>
                  </w:r>
                </w:p>
              </w:tc>
              <w:tc>
                <w:tcPr>
                  <w:tcW w:type="dxa" w:w="1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2025</w:t>
                  </w:r>
                </w:p>
              </w:tc>
              <w:tc>
                <w:tcPr>
                  <w:tcW w:type="dxa" w:w="1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4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300</w:t>
                  </w:r>
                </w:p>
              </w:tc>
              <w:tc>
                <w:tcPr>
                  <w:tcW w:type="dxa" w:w="1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1000</w:t>
                  </w:r>
                </w:p>
              </w:tc>
              <w:tc>
                <w:tcPr>
                  <w:tcW w:type="dxa" w:w="12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金</w:t>
                  </w:r>
                </w:p>
              </w:tc>
              <w:tc>
                <w:tcPr>
                  <w:tcW w:type="dxa" w:w="2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rPr>
                    <w:t>矿产地1处</w:t>
                  </w:r>
                </w:p>
              </w:tc>
              <w:tc>
                <w:tcPr>
                  <w:tcW w:type="dxa" w:w="1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220</w:t>
                  </w:r>
                </w:p>
              </w:tc>
            </w:tr>
            <w:tr>
              <w:tc>
                <w:tcPr>
                  <w:tcW w:type="dxa" w:w="1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3</w:t>
                  </w:r>
                </w:p>
              </w:tc>
              <w:tc>
                <w:tcPr>
                  <w:tcW w:type="dxa" w:w="3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陕西省洛南县地热资源调查评价</w:t>
                  </w:r>
                </w:p>
              </w:tc>
              <w:tc>
                <w:tcPr>
                  <w:tcW w:type="dxa" w:w="5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洛南县</w:t>
                  </w:r>
                  <w:r>
                    <w:rPr>
                      <w:rFonts w:ascii="仿宋_GB2312" w:hAnsi="仿宋_GB2312" w:cs="仿宋_GB2312" w:eastAsia="仿宋_GB2312"/>
                      <w:sz w:val="18"/>
                      <w:color w:val="000000"/>
                    </w:rPr>
                    <w:t>县域</w:t>
                  </w:r>
                </w:p>
              </w:tc>
              <w:tc>
                <w:tcPr>
                  <w:tcW w:type="dxa" w:w="1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新开</w:t>
                  </w:r>
                </w:p>
              </w:tc>
              <w:tc>
                <w:tcPr>
                  <w:tcW w:type="dxa" w:w="1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2025</w:t>
                  </w:r>
                </w:p>
              </w:tc>
              <w:tc>
                <w:tcPr>
                  <w:tcW w:type="dxa" w:w="1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4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2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地热</w:t>
                  </w:r>
                </w:p>
              </w:tc>
              <w:tc>
                <w:tcPr>
                  <w:tcW w:type="dxa" w:w="2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rPr>
                    <w:t>地热靶区2-3处</w:t>
                  </w:r>
                </w:p>
              </w:tc>
              <w:tc>
                <w:tcPr>
                  <w:tcW w:type="dxa" w:w="1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255</w:t>
                  </w:r>
                </w:p>
              </w:tc>
            </w:tr>
            <w:tr>
              <w:tc>
                <w:tcPr>
                  <w:tcW w:type="dxa" w:w="1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4</w:t>
                  </w:r>
                </w:p>
              </w:tc>
              <w:tc>
                <w:tcPr>
                  <w:tcW w:type="dxa" w:w="3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陕西省乾县地热资源调查评价</w:t>
                  </w:r>
                </w:p>
              </w:tc>
              <w:tc>
                <w:tcPr>
                  <w:tcW w:type="dxa" w:w="5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乾县</w:t>
                  </w:r>
                  <w:r>
                    <w:rPr>
                      <w:rFonts w:ascii="仿宋_GB2312" w:hAnsi="仿宋_GB2312" w:cs="仿宋_GB2312" w:eastAsia="仿宋_GB2312"/>
                      <w:sz w:val="18"/>
                      <w:color w:val="000000"/>
                    </w:rPr>
                    <w:t>县域</w:t>
                  </w:r>
                </w:p>
              </w:tc>
              <w:tc>
                <w:tcPr>
                  <w:tcW w:type="dxa" w:w="1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新开</w:t>
                  </w:r>
                </w:p>
              </w:tc>
              <w:tc>
                <w:tcPr>
                  <w:tcW w:type="dxa" w:w="1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2025</w:t>
                  </w:r>
                </w:p>
              </w:tc>
              <w:tc>
                <w:tcPr>
                  <w:tcW w:type="dxa" w:w="1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4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2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地热</w:t>
                  </w:r>
                </w:p>
              </w:tc>
              <w:tc>
                <w:tcPr>
                  <w:tcW w:type="dxa" w:w="2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rPr>
                    <w:t>地热靶区2-3处</w:t>
                  </w:r>
                </w:p>
              </w:tc>
              <w:tc>
                <w:tcPr>
                  <w:tcW w:type="dxa" w:w="1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180</w:t>
                  </w:r>
                </w:p>
              </w:tc>
            </w:tr>
            <w:tr>
              <w:tc>
                <w:tcPr>
                  <w:tcW w:type="dxa" w:w="115"/>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b/>
                      <w:color w:val="000000"/>
                    </w:rPr>
                    <w:t>5</w:t>
                  </w:r>
                </w:p>
              </w:tc>
              <w:tc>
                <w:tcPr>
                  <w:tcW w:type="dxa" w:w="39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陕西省商州区地热资源调查评价</w:t>
                  </w:r>
                </w:p>
              </w:tc>
              <w:tc>
                <w:tcPr>
                  <w:tcW w:type="dxa" w:w="5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color w:val="000000"/>
                    </w:rPr>
                    <w:t>109.4936,34.0938；109.3237,34.0131</w:t>
                  </w:r>
                </w:p>
                <w:p>
                  <w:pPr>
                    <w:pStyle w:val="null3"/>
                    <w:jc w:val="left"/>
                  </w:pPr>
                  <w:r>
                    <w:rPr>
                      <w:rFonts w:ascii="仿宋_GB2312" w:hAnsi="仿宋_GB2312" w:cs="仿宋_GB2312" w:eastAsia="仿宋_GB2312"/>
                      <w:sz w:val="18"/>
                      <w:color w:val="000000"/>
                    </w:rPr>
                    <w:t>109.3758,33.4717；109.4642,33.4122</w:t>
                  </w:r>
                </w:p>
                <w:p>
                  <w:pPr>
                    <w:pStyle w:val="null3"/>
                    <w:jc w:val="left"/>
                  </w:pPr>
                  <w:r>
                    <w:rPr>
                      <w:rFonts w:ascii="仿宋_GB2312" w:hAnsi="仿宋_GB2312" w:cs="仿宋_GB2312" w:eastAsia="仿宋_GB2312"/>
                      <w:sz w:val="18"/>
                      <w:color w:val="000000"/>
                    </w:rPr>
                    <w:t>110.0525,33.4214；110.1224,33.4943</w:t>
                  </w:r>
                </w:p>
                <w:p>
                  <w:pPr>
                    <w:pStyle w:val="null3"/>
                    <w:jc w:val="left"/>
                  </w:pPr>
                  <w:r>
                    <w:rPr>
                      <w:rFonts w:ascii="仿宋_GB2312" w:hAnsi="仿宋_GB2312" w:cs="仿宋_GB2312" w:eastAsia="仿宋_GB2312"/>
                      <w:sz w:val="18"/>
                      <w:color w:val="000000"/>
                    </w:rPr>
                    <w:t>110.1160,33.5757；110.0303,33.5703</w:t>
                  </w:r>
                </w:p>
                <w:p>
                  <w:pPr>
                    <w:pStyle w:val="null3"/>
                    <w:jc w:val="left"/>
                  </w:pPr>
                  <w:r>
                    <w:rPr>
                      <w:rFonts w:ascii="仿宋_GB2312" w:hAnsi="仿宋_GB2312" w:cs="仿宋_GB2312" w:eastAsia="仿宋_GB2312"/>
                      <w:sz w:val="18"/>
                      <w:color w:val="000000"/>
                    </w:rPr>
                    <w:t>110.0013,34.0038；109.5843,34.0545</w:t>
                  </w:r>
                </w:p>
                <w:p>
                  <w:pPr>
                    <w:pStyle w:val="null3"/>
                    <w:jc w:val="left"/>
                  </w:pPr>
                  <w:r>
                    <w:rPr>
                      <w:rFonts w:ascii="仿宋_GB2312" w:hAnsi="仿宋_GB2312" w:cs="仿宋_GB2312" w:eastAsia="仿宋_GB2312"/>
                      <w:sz w:val="18"/>
                    </w:rPr>
                    <w:t>0</w:t>
                  </w:r>
                  <w:r>
                    <w:rPr>
                      <w:rFonts w:ascii="仿宋_GB2312" w:hAnsi="仿宋_GB2312" w:cs="仿宋_GB2312" w:eastAsia="仿宋_GB2312"/>
                      <w:sz w:val="18"/>
                      <w:color w:val="000000"/>
                    </w:rPr>
                    <w:t>,</w:t>
                  </w:r>
                  <w:r>
                    <w:rPr>
                      <w:rFonts w:ascii="仿宋_GB2312" w:hAnsi="仿宋_GB2312" w:cs="仿宋_GB2312" w:eastAsia="仿宋_GB2312"/>
                      <w:sz w:val="18"/>
                    </w:rPr>
                    <w:t>0</w:t>
                  </w:r>
                </w:p>
              </w:tc>
              <w:tc>
                <w:tcPr>
                  <w:tcW w:type="dxa" w:w="1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color w:val="000000"/>
                    </w:rPr>
                    <w:t>2129</w:t>
                  </w:r>
                </w:p>
              </w:tc>
              <w:tc>
                <w:tcPr>
                  <w:tcW w:type="dxa" w:w="13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新开</w:t>
                  </w:r>
                </w:p>
              </w:tc>
              <w:tc>
                <w:tcPr>
                  <w:tcW w:type="dxa" w:w="15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2025</w:t>
                  </w:r>
                </w:p>
              </w:tc>
              <w:tc>
                <w:tcPr>
                  <w:tcW w:type="dxa" w:w="12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p>
              </w:tc>
              <w:tc>
                <w:tcPr>
                  <w:tcW w:type="dxa" w:w="140"/>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59"/>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tc>
              <w:tc>
                <w:tcPr>
                  <w:tcW w:type="dxa" w:w="12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地热</w:t>
                  </w:r>
                </w:p>
              </w:tc>
              <w:tc>
                <w:tcPr>
                  <w:tcW w:type="dxa" w:w="274"/>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18"/>
                    </w:rPr>
                    <w:t>地热靶区2-3处</w:t>
                  </w:r>
                </w:p>
              </w:tc>
              <w:tc>
                <w:tcPr>
                  <w:tcW w:type="dxa" w:w="175"/>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8"/>
                    </w:rPr>
                    <w:t>253</w:t>
                  </w:r>
                </w:p>
              </w:tc>
            </w:tr>
          </w:tbl>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要求合同签订后40天提交设计书；自设计批复文件下达一个年度内完成野外工作，提交绩效评估报告、经费使用情况总结报告、成果报告；报告评审意见下达180日内完成资料汇交。</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70.00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完成野外工作验收后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完成资料汇交后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2.未按合同要求提供服务或服务质量不能满足合同要求，甲方有权依据《中华人民共和国民法典》有关条款及合同约定终止合同，并要求投标人承担违约责任。 3.执行本合同中产生纠纷，由甲乙双方协商解决；协商不成，可向有管辖权的人民法院提起诉讼。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 2.提供具有履行本合同所必需的设备和专业技术能力的书面声明； 3.税收缴纳证明：提供截止至开标时间前一年内任意一个月的纳税证明或完税证明，纳税证明或完税证明上应有代收机构或税务机关的公章或业务专用章，依法免税的供应商应提供相应证明文件； 4.社会保障资金缴纳证明：提供截止至开标时间前一年内任意一个月的社保缴费凭据或社保机构开具的社会保险参保缴费情况证明（依法不需要缴纳社会保障资金的供应商应提供相关证明）； 5.提供参加政府采购活动前三年内在经营活动中没有重大违法记录的书面声明；供应商需在项目电子化交易系统中按要求填写《投标函》完成承诺并进行电子签章。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具有审计资质单位出具的2023年度或2024年度的财务审计报告（包括审计报告、资产负债表、利润表、现金流量表、所有者权益变动表（没有可不提供）及附注，成立时间至提交投标文件截止时间不足一年的可提供成立后任意时段的资产负债表）或开标前六个月内基本存款账户开户银行出具的资信证明及基本存款账户信息。（以上两种形式的资料提供任何一种即可 ）</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法定代表人直接参加投标的，须提供法定代表人身份证明(附法人身份证复印件）；法定代表人授权代表参加投标的，须提供法定代表人授权委托书(附法人及被授权人身份证复印件）；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提供网站截图，加盖供应商公章或电子章，投标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按照《自然资源部办公厅关于建好用好全国地质勘查行业监管服务平台的通知》（自然资办发〔2023〕7号）要求，在地质勘查、地质灾害防治、生态保护修复等有关财政出资项目招投标、政府采购、项目委托等工作中，应通过监管服务平台（https://dkjgfw.mnr.gov.cn/）查询地质勘查单位的单位信息，且未被列入异常名录及严重失信主体名单。（提供网站截图，加盖供应商公章或电子章）</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资格证明文件.docx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分项报价预算.docx 投标函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符合招标文件签署盖章要求</w:t>
            </w:r>
          </w:p>
        </w:tc>
        <w:tc>
          <w:tcPr>
            <w:tcW w:type="dxa" w:w="1661"/>
          </w:tcPr>
          <w:p>
            <w:pPr>
              <w:pStyle w:val="null3"/>
            </w:pPr>
            <w:r>
              <w:rPr>
                <w:rFonts w:ascii="仿宋_GB2312" w:hAnsi="仿宋_GB2312" w:cs="仿宋_GB2312" w:eastAsia="仿宋_GB2312"/>
              </w:rPr>
              <w:t>投标函 分项报价预算.docx 残疾人福利性单位声明函 中小企业声明函 技术和商务偏离表.docx 业绩证明材料.docx 标的清单 投标文件封面 资格证明文件.docx 服务方案.docx 陕西省政府采购供应商拒绝政府采购领域商业贿赂承诺书.docx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符合招标文件要求</w:t>
            </w:r>
          </w:p>
        </w:tc>
        <w:tc>
          <w:tcPr>
            <w:tcW w:type="dxa" w:w="1661"/>
          </w:tcPr>
          <w:p>
            <w:pPr>
              <w:pStyle w:val="null3"/>
            </w:pPr>
            <w:r>
              <w:rPr>
                <w:rFonts w:ascii="仿宋_GB2312" w:hAnsi="仿宋_GB2312" w:cs="仿宋_GB2312" w:eastAsia="仿宋_GB2312"/>
              </w:rPr>
              <w:t>投标函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投标人名称营业执照/事业单位法人证书/专业服务机构执业许可证/民办非企业单位登记证书一致性</w:t>
            </w:r>
          </w:p>
        </w:tc>
        <w:tc>
          <w:tcPr>
            <w:tcW w:type="dxa" w:w="3322"/>
          </w:tcPr>
          <w:p>
            <w:pPr>
              <w:pStyle w:val="null3"/>
            </w:pPr>
            <w:r>
              <w:rPr>
                <w:rFonts w:ascii="仿宋_GB2312" w:hAnsi="仿宋_GB2312" w:cs="仿宋_GB2312" w:eastAsia="仿宋_GB2312"/>
              </w:rPr>
              <w:t>投标人名称应与有效存续的企业营业执照/事业单位法人证书/专业服务机构执业许可证/民办非企业单位登记证书一致</w:t>
            </w:r>
          </w:p>
        </w:tc>
        <w:tc>
          <w:tcPr>
            <w:tcW w:type="dxa" w:w="1661"/>
          </w:tcPr>
          <w:p>
            <w:pPr>
              <w:pStyle w:val="null3"/>
            </w:pPr>
            <w:r>
              <w:rPr>
                <w:rFonts w:ascii="仿宋_GB2312" w:hAnsi="仿宋_GB2312" w:cs="仿宋_GB2312" w:eastAsia="仿宋_GB2312"/>
              </w:rPr>
              <w:t>投标函 分项报价预算.docx 中小企业声明函 残疾人福利性单位声明函 技术和商务偏离表.docx 业绩证明材料.docx 标的清单 投标文件封面 资格证明文件.docx 陕西省政府采购供应商拒绝政府采购领域商业贿赂承诺书.docx 服务方案.docx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报价的符合性</w:t>
            </w:r>
          </w:p>
        </w:tc>
        <w:tc>
          <w:tcPr>
            <w:tcW w:type="dxa" w:w="3322"/>
          </w:tcPr>
          <w:p>
            <w:pPr>
              <w:pStyle w:val="null3"/>
            </w:pPr>
            <w:r>
              <w:rPr>
                <w:rFonts w:ascii="仿宋_GB2312" w:hAnsi="仿宋_GB2312" w:cs="仿宋_GB2312" w:eastAsia="仿宋_GB2312"/>
              </w:rPr>
              <w:t>1.报价唯一； 2.报价货币符合招标文件要求； 3.不超出采购预算或招标文件规定的最高限价。</w:t>
            </w:r>
          </w:p>
        </w:tc>
        <w:tc>
          <w:tcPr>
            <w:tcW w:type="dxa" w:w="1661"/>
          </w:tcPr>
          <w:p>
            <w:pPr>
              <w:pStyle w:val="null3"/>
            </w:pPr>
            <w:r>
              <w:rPr>
                <w:rFonts w:ascii="仿宋_GB2312" w:hAnsi="仿宋_GB2312" w:cs="仿宋_GB2312" w:eastAsia="仿宋_GB2312"/>
              </w:rPr>
              <w:t>投标函 分项报价预算.docx 标的清单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符合法律、法规和招标文件中规定的其他实质性要求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分项报价预算.docx 投标函 中小企业声明函 残疾人福利性单位声明函 技术和商务偏离表.docx 业绩证明材料.docx 标的清单 投标文件封面 资格证明文件.docx 服务方案.docx 陕西省政府采购供应商拒绝政府采购领域商业贿赂承诺书.docx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前期工作</w:t>
            </w:r>
          </w:p>
        </w:tc>
        <w:tc>
          <w:tcPr>
            <w:tcW w:type="dxa" w:w="2492"/>
          </w:tcPr>
          <w:p>
            <w:pPr>
              <w:pStyle w:val="null3"/>
            </w:pPr>
            <w:r>
              <w:rPr>
                <w:rFonts w:ascii="仿宋_GB2312" w:hAnsi="仿宋_GB2312" w:cs="仿宋_GB2312" w:eastAsia="仿宋_GB2312"/>
              </w:rPr>
              <w:t>根据投标人提供的前期工作方案，主要包括：①前期调研②野外踏勘③工作区地质背景分析④地热地质条件⑤开发条件与环境影响分析⑥资料收集等。以上内容无缺项，专门针对本项目编制，符合本项目实际情况，内容全面详细，且条理清晰准确、合理，能够保障项目顺利实施的每小项得2分。每小项缺项或者内容非针对于本项目的扣2分，每小项有一处缺陷的扣0.5分，扣完为止。（缺陷是指：内容不完整、条理不清晰、缺少关键点、方案不具体、针对性不强、内容无紧扣项目实际情况、表述前后不一致及其他不利于项目实施的情形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投标人针对本项目需求，提供详细 、清晰、科学、合理的服务实施方案， 主要包括：①实施思路②技术路线③工作部署④实施计划⑤预期成果及成果交付时间等。以上内容无缺项，专门针对本项目编制，符合本项目实际情况，内容全面详细，且条理清晰准确、合理，能够保障项目顺利实施的每小项得3分。每小项缺项或者内容非针对于本项目的扣3分，每小项有一处缺陷的扣1分，扣完为止。（缺陷是指：内容不完整、条理不清晰、缺少关键点、方案不具体、针对性不强、内容无紧扣项目实际情况、表述前后不一致及其他不利于项目实施的情形等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工作方法</w:t>
            </w:r>
          </w:p>
        </w:tc>
        <w:tc>
          <w:tcPr>
            <w:tcW w:type="dxa" w:w="2492"/>
          </w:tcPr>
          <w:p>
            <w:pPr>
              <w:pStyle w:val="null3"/>
            </w:pPr>
            <w:r>
              <w:rPr>
                <w:rFonts w:ascii="仿宋_GB2312" w:hAnsi="仿宋_GB2312" w:cs="仿宋_GB2312" w:eastAsia="仿宋_GB2312"/>
              </w:rPr>
              <w:t>投标人针对本项目需求提供科学、合理、适配的工作方法，主要包括：①技术方法选择②技术要求③工作精度④绿色勘查等。以上内容无缺项，专门针对本项目编制，工作方法选择得当、技术要求、工作精度符合规范与实际，能够保障项目顺利实施的每小项得2分。每小项缺项或者内容非针对于本项目的扣2分，每小项有一处缺陷的扣0.5分，扣完为止。（缺陷是指：内容不完整、条理不清晰、缺少关键点、方案不具体、针对性不强、内容无紧扣项目实际情况、表述前后不一致及其他不利于项目实施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对本项目关键点、重点、难点的理解与分析</w:t>
            </w:r>
          </w:p>
        </w:tc>
        <w:tc>
          <w:tcPr>
            <w:tcW w:type="dxa" w:w="2492"/>
          </w:tcPr>
          <w:p>
            <w:pPr>
              <w:pStyle w:val="null3"/>
            </w:pPr>
            <w:r>
              <w:rPr>
                <w:rFonts w:ascii="仿宋_GB2312" w:hAnsi="仿宋_GB2312" w:cs="仿宋_GB2312" w:eastAsia="仿宋_GB2312"/>
              </w:rPr>
              <w:t>投标人针对本项目的重难点分析及解决方案情况进行评分，主要包括：①工作目标②重难点分析③应对策略④对本项目的建议等。以上内容无缺项，专门针对本项目编制，符合本项目实际情况，内容全面详细，且条理清晰、准确、合理，能够保障项目顺利实施的每小项得2分。每小项缺项或者内容非针对于本项目的扣2分，每小项有一处缺陷的扣0.5分，扣完为止。（缺陷是指：内容不完整、条理不清晰、缺少关键点、方案不具体、针对性不强、内容无紧扣项目实际情况、表述前后不一致及其他不利于项目实施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质量保障措施</w:t>
            </w:r>
          </w:p>
        </w:tc>
        <w:tc>
          <w:tcPr>
            <w:tcW w:type="dxa" w:w="2492"/>
          </w:tcPr>
          <w:p>
            <w:pPr>
              <w:pStyle w:val="null3"/>
            </w:pPr>
            <w:r>
              <w:rPr>
                <w:rFonts w:ascii="仿宋_GB2312" w:hAnsi="仿宋_GB2312" w:cs="仿宋_GB2312" w:eastAsia="仿宋_GB2312"/>
              </w:rPr>
              <w:t>根据投标人针对本项目制定的质量保障措施，主要包括：①质量管理体系②服务质量保证措施③管理规范等。专门针对本项目编制，符合本项目实际情况，内容全面详细，且条理清晰准确、合理的每小项得2分。每小项缺项或者内容非针对于本项目的扣2分，每小项有一处缺陷的扣0.5分，扣完为止。（缺陷是指：内容不完整、条理不清晰、缺少关键点、措施不具体、针对性不强、内容无紧扣项目实际情况、表述前后不一致及其他不利于项目实施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根据投标人提供的进度保证措施，主要包括：①项目进度计划制定②主要设备投入计划③进度监控与调整④资源调配与保障等。专门针对本项目编制，符合本项目实际情况，内容全面详细，且条理清晰准确、合理的每小项得1.5分。每小项缺项或者内容非针对于本项目的扣1.5分，每小项有一处缺陷的扣0.5分，扣完为止。（缺陷是指：内容不完整、条理不清晰、缺少关键点、措施不具体、针对性不强、内容无紧扣项目实际情况、表述前后不一致及其他不利于项目实施的情形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安全保证措施</w:t>
            </w:r>
          </w:p>
        </w:tc>
        <w:tc>
          <w:tcPr>
            <w:tcW w:type="dxa" w:w="2492"/>
          </w:tcPr>
          <w:p>
            <w:pPr>
              <w:pStyle w:val="null3"/>
            </w:pPr>
            <w:r>
              <w:rPr>
                <w:rFonts w:ascii="仿宋_GB2312" w:hAnsi="仿宋_GB2312" w:cs="仿宋_GB2312" w:eastAsia="仿宋_GB2312"/>
              </w:rPr>
              <w:t>根据投标人提供的安全保证措施，主要包括：①安全管理体系②安全教育与培训③安全检查与监督④应急处理预案等。专门针对本项目编制，符合本项目实际情况，内容全面详细，且条理清晰准确、合理的每小项得2分。每小项缺项或者内容非针对于本项目的扣2分，每小项有一处缺陷的扣0.5分，扣完为止。（缺陷是指：内容不完整、条理不清晰、缺少关键点、措施不具体、针对性不强、内容无紧扣项目实际情况、表述前后不一致及其他不利于项目实施的情形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保密措施与数据管理</w:t>
            </w:r>
          </w:p>
        </w:tc>
        <w:tc>
          <w:tcPr>
            <w:tcW w:type="dxa" w:w="2492"/>
          </w:tcPr>
          <w:p>
            <w:pPr>
              <w:pStyle w:val="null3"/>
            </w:pPr>
            <w:r>
              <w:rPr>
                <w:rFonts w:ascii="仿宋_GB2312" w:hAnsi="仿宋_GB2312" w:cs="仿宋_GB2312" w:eastAsia="仿宋_GB2312"/>
              </w:rPr>
              <w:t>有严格、健全的保密体系，保密措施、数据管理措施完整、全面，得3分；具备保密体系及数据管理措施，但不全面，得 2分；保密措施及数据管理措施内容缺少具体实施细则，得 1 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团队人员配备</w:t>
            </w:r>
          </w:p>
        </w:tc>
        <w:tc>
          <w:tcPr>
            <w:tcW w:type="dxa" w:w="2492"/>
          </w:tcPr>
          <w:p>
            <w:pPr>
              <w:pStyle w:val="null3"/>
            </w:pPr>
            <w:r>
              <w:rPr>
                <w:rFonts w:ascii="仿宋_GB2312" w:hAnsi="仿宋_GB2312" w:cs="仿宋_GB2312" w:eastAsia="仿宋_GB2312"/>
              </w:rPr>
              <w:t>1.项目负责人(2分):拟派项目负责人具有水文（工程、环境）地质相关专业高级及以上职称的计2分，具有中级职称计1分，无职称不得分。 2.技术负责人(2分):技术负责人具有水文（工程、环境）地质相关专业高级及以上职称的计2分，具有中级职称计1分，无职称不得分。 3.项目主要成员(不含项目负责人及技术负责人)具有水文（工程、环境）地质相关专业中级及以上的职称，每提供一名得1分，最高得5分。提供相关证明资料，无资料不得分。注:(提供上述人员的职称证书复印件或职业资格证书加盖投标单位公章及2025年1月至今任意3个月本单位缴纳社会保险证明)</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投标人须提供自2010年10月1日以来承担过的类似项目业绩，且通过委托方最终成果验收，时间以合同或任务书签订时间为准。每提供一份业绩得2分，最高得10分。 注：每项业绩需提供：1.合同或任务书证明文件；2.成果验收证明。所提供的合同或任务书及成果验收证明需体现签订时间、服务内容等关键信息，未提供合同或任务书及成果验收证明文件，或所提供的合同或任务书及成果验收证明文件关键信息缺失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预算编制质量</w:t>
            </w:r>
          </w:p>
        </w:tc>
        <w:tc>
          <w:tcPr>
            <w:tcW w:type="dxa" w:w="2492"/>
          </w:tcPr>
          <w:p>
            <w:pPr>
              <w:pStyle w:val="null3"/>
            </w:pPr>
            <w:r>
              <w:rPr>
                <w:rFonts w:ascii="仿宋_GB2312" w:hAnsi="仿宋_GB2312" w:cs="仿宋_GB2312" w:eastAsia="仿宋_GB2312"/>
              </w:rPr>
              <w:t>针对投标人的预算编制内容、数据计算、工作量等对预算编制的完整性、合理性、准确性与本项目采购需求匹配程度等量化评分，满分5分，每小项有一处缺陷的扣0.5分，扣完为止。（缺陷是指：计算错误、预算编制不合理存在缺项、漏项与项目的采购需求、技术要求及工作进度不匹配等任意一种情形）</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p>
            <w:pPr>
              <w:pStyle w:val="null3"/>
            </w:pPr>
            <w:r>
              <w:rPr>
                <w:rFonts w:ascii="仿宋_GB2312" w:hAnsi="仿宋_GB2312" w:cs="仿宋_GB2312" w:eastAsia="仿宋_GB2312"/>
              </w:rPr>
              <w:t>分项报价预算.docx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报价最低的供应商的价格为基准价，其价格分为满分。其他供应商的价格分统一按照下列公式计算：报价得分=（评标基准价/投标报价）×价格权值（10%）×100。 注：计算结果保留小数点后两位，第三位四舍五入。</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详见附件：分项报价预算.docx</w:t>
      </w:r>
    </w:p>
    <w:p>
      <w:pPr>
        <w:pStyle w:val="null3"/>
        <w:ind w:firstLine="960"/>
      </w:pPr>
      <w:r>
        <w:rPr>
          <w:rFonts w:ascii="仿宋_GB2312" w:hAnsi="仿宋_GB2312" w:cs="仿宋_GB2312" w:eastAsia="仿宋_GB2312"/>
        </w:rPr>
        <w:t>详见附件：技术和商务偏离表.docx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详见附件：业绩证明材料.docx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详见附件：陕西省2025年地勘基金项目勘查合同.docx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