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版本号：ZX2025-11-5320251126001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钻柱动力学模拟装置系统采购项目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ZX2025-11-53</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钻柱动力学模拟装置系统采购项目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ZX2025-11-53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钻柱动力学模拟装置系统采购项目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本项目拟采购钻柱动力学模拟装置系统1套。具体要求详见第三章。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或法定代表人授权书及授权代表身份证：供应商应授权合法的人员参加谈判全过程，其中法定代表人直接参加谈判的，须提供法定代表人身份证，并与营业执照上信息一致。法定代表人授权代表参加谈判的，须提供法定代表人授权书及授权代表身份证（授权代表需提供谈判截止时间前半年任意一个月的社保缴纳证明）。</w:t>
      </w:r>
    </w:p>
    <w:p>
      <w:pPr>
        <w:pStyle w:val="null3"/>
      </w:pPr>
      <w:r>
        <w:rPr>
          <w:rFonts w:ascii="仿宋_GB2312" w:hAnsi="仿宋_GB2312" w:cs="仿宋_GB2312" w:eastAsia="仿宋_GB2312"/>
        </w:rPr>
        <w:t>2、本项目不接受联合体谈判：本项目不接受联合体谈判，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祁鑫 张爽 王宇轩 马演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采购包1保证金金额：31,153.00元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说明：合同签订前缴纳，缴纳金额为合同金额的5%；缴纳方式：银行转账、支票/汇票/本票、保函/保险 ； 待合同执行完毕、服务验收合格后凭验收单和缴款收据，合同履约保证金予以无息退还。如遇下列情况之一者，合同履约保证金不予退还，作为对招标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同意代理机构的招标代理服务费参见国家计委颁布的《招标代理服务收费管理暂行办法》（计价格[2002]1980号）和（发改办价格[2011]534号）货物类收费标准的90%，按照中标金额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西安石油大学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陕西正信招标有限公司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按照谈判文件，响应文件规定执行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联系人：王宇轩、祁鑫</w:t>
      </w:r>
    </w:p>
    <w:p>
      <w:pPr>
        <w:pStyle w:val="null3"/>
      </w:pPr>
      <w:r>
        <w:rPr>
          <w:rFonts w:ascii="仿宋_GB2312" w:hAnsi="仿宋_GB2312" w:cs="仿宋_GB2312" w:eastAsia="仿宋_GB2312"/>
        </w:rPr>
        <w:t>联系电话：029-88110800转8032（邮箱：438904813@qq.com）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随着油气的勘探开发逐渐向深层、超深层、深水等领域拓展，对复杂环境钻井过程中钻柱的性能、动力学等提出了重大挑战，但目前本领域研究主要以理论研究和数值分析为主，受限于当前实验装置较为简单、运行参数较低，测量装置精度较低、测量手段单一、宏观/微观难以测量等问题，对相关教学、研究工作的开展有很大的制约。</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钻柱动力学模拟装置系统采购项目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标的名称：钻柱动力学模拟装置系统采购项目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钻柱动力学模拟装置系统采购项目--1套</w:t>
            </w:r>
          </w:p>
          <w:p>
            <w:pPr>
              <w:pStyle w:val="null3"/>
              <w:jc w:val="both"/>
            </w:pPr>
            <w:r>
              <w:rPr>
                <w:rFonts w:ascii="仿宋_GB2312" w:hAnsi="仿宋_GB2312" w:cs="仿宋_GB2312" w:eastAsia="仿宋_GB2312"/>
              </w:rPr>
              <w:t>1、井筒内径：至少包括Φ20 mm、Φ30 mm、Φ40 mm、Φ50 mm、Φ60 mm、Φ70 mm、Φ80 mm、Φ90 mm、Φ100mm；</w:t>
            </w:r>
          </w:p>
          <w:p>
            <w:pPr>
              <w:pStyle w:val="null3"/>
            </w:pPr>
            <w:r>
              <w:rPr>
                <w:rFonts w:ascii="仿宋_GB2312" w:hAnsi="仿宋_GB2312" w:cs="仿宋_GB2312" w:eastAsia="仿宋_GB2312"/>
              </w:rPr>
              <w:t>2、钻柱：配数量和规格足够的钻柱；</w:t>
            </w:r>
          </w:p>
          <w:p>
            <w:pPr>
              <w:pStyle w:val="null3"/>
            </w:pPr>
            <w:r>
              <w:rPr>
                <w:rFonts w:ascii="仿宋_GB2312" w:hAnsi="仿宋_GB2312" w:cs="仿宋_GB2312" w:eastAsia="仿宋_GB2312"/>
              </w:rPr>
              <w:t>3、钻压：0—10kN，精度：≤0.5% F.S；</w:t>
            </w:r>
          </w:p>
          <w:p>
            <w:pPr>
              <w:pStyle w:val="null3"/>
            </w:pPr>
            <w:r>
              <w:rPr>
                <w:rFonts w:ascii="仿宋_GB2312" w:hAnsi="仿宋_GB2312" w:cs="仿宋_GB2312" w:eastAsia="仿宋_GB2312"/>
              </w:rPr>
              <w:t>4、扭矩：0—50Nm，精度：≤0.5% F.S；</w:t>
            </w:r>
          </w:p>
          <w:p>
            <w:pPr>
              <w:pStyle w:val="null3"/>
            </w:pPr>
            <w:r>
              <w:rPr>
                <w:rFonts w:ascii="仿宋_GB2312" w:hAnsi="仿宋_GB2312" w:cs="仿宋_GB2312" w:eastAsia="仿宋_GB2312"/>
              </w:rPr>
              <w:t>5、转速：0—150r/s,精度：≤0.1% F.S；</w:t>
            </w:r>
          </w:p>
          <w:p>
            <w:pPr>
              <w:pStyle w:val="null3"/>
            </w:pPr>
            <w:r>
              <w:rPr>
                <w:rFonts w:ascii="仿宋_GB2312" w:hAnsi="仿宋_GB2312" w:cs="仿宋_GB2312" w:eastAsia="仿宋_GB2312"/>
              </w:rPr>
              <w:t>6、冲击力：0—10kN，精度：≤0.5% F.S；</w:t>
            </w:r>
          </w:p>
          <w:p>
            <w:pPr>
              <w:pStyle w:val="null3"/>
            </w:pPr>
            <w:r>
              <w:rPr>
                <w:rFonts w:ascii="仿宋_GB2312" w:hAnsi="仿宋_GB2312" w:cs="仿宋_GB2312" w:eastAsia="仿宋_GB2312"/>
              </w:rPr>
              <w:t>7、运动轨迹：X—Y平面轨迹，精度：≤0.5%F.S；</w:t>
            </w:r>
          </w:p>
          <w:p>
            <w:pPr>
              <w:pStyle w:val="null3"/>
            </w:pPr>
            <w:r>
              <w:rPr>
                <w:rFonts w:ascii="仿宋_GB2312" w:hAnsi="仿宋_GB2312" w:cs="仿宋_GB2312" w:eastAsia="仿宋_GB2312"/>
              </w:rPr>
              <w:t>8、配备相应的数据采集分析软件。</w:t>
            </w:r>
          </w:p>
          <w:p>
            <w:pPr>
              <w:pStyle w:val="null3"/>
            </w:pPr>
            <w:r>
              <w:rPr>
                <w:rFonts w:ascii="仿宋_GB2312" w:hAnsi="仿宋_GB2312" w:cs="仿宋_GB2312" w:eastAsia="仿宋_GB2312"/>
                <w:b/>
              </w:rPr>
              <w:t>注：所有技术参数均须满足要求，负偏离按无效文件处理。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交货时间为本合同生效后 90 天内到货并安装调试交付使用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合同签订后，供应商开具等额银行保函，采购人收到银行保函正本后，一次性付清合同货款，待货物到达指定地点、安装调试验收合格并提供全额增值税专用发票后，采购人退还银行保函正本</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（1）验收以最终验收为准； （2）货物安装调试运行正常后，甲方（采购单位）按学校相关业务部门规定提交验收申请，学校根据采购单位技术验收结果，组织有关专家进行货物的最终验收。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质保期：自学校验收合格之日起3年。 售后服务效率要求：7*24 即时响应（包括电话响应）；电话响应无法解决时，24小时内到达现场。修复时间48小时内；如48小时内无法修复，应提供相应解决方案。售后服务标准要求： 技术服务： 1. 设备安装、调试和验收 2.卖方应在合同生效后的1个月内向用户提供详细的安装要求并提供技术咨询。 3. 仪器到达用户所在地，在接到用户通知后一周内进行安装调试，直至通过验收。 4. 技术培训：在用户所在地对用户进行为期1周的培训。培训内容包括仪器的技术原理、操作、数据处理、基本维护等。验收后半年内组织买方相关人员2人参加举办的相关应用培训班。 5. 保修期：卖方提供免费保修,保修期自仪器验收签字之日起计算。保修期间维修及零件更换费用由厂家负担。 6. 维修响应时间：卖方应在24小时内对用户的服务要求作出响应，维修服务包括电话指导和现场维修。</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1、报价要求： （1）供应商应当根据采购文件的要求和范围，以人民币为货币，以元为报价单位。 （2）报价：谈判报价是指到达使用地点、验收合格达到正常使用条件前的所有费用，包括但不限于以下费用：货物价值、安装调试费、国内外运杂费（含保险）、仓储保管费、技术培训费、检测费、施工费、人工费等全部相关费用； （3）供应商所提供的产品型号、产地等重要信息，需要与仪器机身保持一致。 2、谈判保证金注意事项： （1）谈判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保函必须由具有开具投标保函资格的单位开具；若供应商违约，开具保函单位承担连带责任。 3、需要落实的政府采购政策：①《国务院办公厅关于建立政府强制采购节能产品制度的通知》（国办发〔2007〕51号）；②《财政部 司法部关于政府采购支持监狱企业发展有关问题的通知》（财库〔2014〕68号）；③《三部门联合发布关于促进残疾人就业政府采购政策的通知》（财库〔2017〕141号）；④《财政部 发展改革委 生态环境部 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⑨《关于扩大政府采购支持绿色建材促进建筑品质提升政策实施范围的通知》（财库〔2022〕35号）；⑩如有最新颁布的政府采购政策，按最新的文件执行。 4、成交供应商应在成交结果发布后2日内提供与电子化交易平台上传一致的纸质响应文件2份。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1、供应商为合法注册的法人、其他组织或自然人，具有独立承担民事责任的能力，提供具有统一社会信用代码证的营业执照（或事业单位法人证），分支机构参与投标的，提供有效的分支机构营业执照，以及有效的总公司营业执照及总公司针对本项目的授权书；供应商为自然人的提供身份证；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谈判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5、社会保障资金缴纳证明：提供谈判截止时间前12个月内任意一个月的社会保障资金缴存单据或社保机构开具的社会保险参保缴费情况证明。依法不需要缴纳社会保障资金的供应商应提供相关文件证明；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3供应商的资格证明材料.docx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3供应商的资格证明材料.docx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本项目为非专门面向中、小、微型企业采购项目</w:t>
            </w:r>
          </w:p>
        </w:tc>
        <w:tc>
          <w:tcPr>
            <w:tcW w:type="dxa" w:w="3322"/>
          </w:tcPr>
          <w:p>
            <w:pPr>
              <w:pStyle w:val="null3"/>
            </w:pPr>
            <w:r>
              <w:rPr>
                <w:rFonts w:ascii="仿宋_GB2312" w:hAnsi="仿宋_GB2312" w:cs="仿宋_GB2312" w:eastAsia="仿宋_GB2312"/>
              </w:rPr>
              <w:t>本项目为非专门面向中、小、微型企业采购项目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法定代表人身份证或法定代表人授权书及授权代表身份证</w:t>
            </w:r>
          </w:p>
        </w:tc>
        <w:tc>
          <w:tcPr>
            <w:tcW w:type="dxa" w:w="3322"/>
          </w:tcPr>
          <w:p>
            <w:pPr>
              <w:pStyle w:val="null3"/>
            </w:pPr>
            <w:r>
              <w:rPr>
                <w:rFonts w:ascii="仿宋_GB2312" w:hAnsi="仿宋_GB2312" w:cs="仿宋_GB2312" w:eastAsia="仿宋_GB2312"/>
              </w:rPr>
              <w:t>供应商应授权合法的人员参加谈判全过程，其中法定代表人直接参加谈判的，须提供法定代表人身份证，并与营业执照上信息一致。法定代表人授权代表参加谈判的，须提供法定代表人授权书及授权代表身份证（授权代表需提供谈判截止时间前半年任意一个月的社保缴纳证明）。</w:t>
            </w:r>
          </w:p>
        </w:tc>
        <w:tc>
          <w:tcPr>
            <w:tcW w:type="dxa" w:w="1661"/>
          </w:tcPr>
          <w:p>
            <w:pPr>
              <w:pStyle w:val="null3"/>
            </w:pPr>
            <w:r>
              <w:rPr>
                <w:rFonts w:ascii="仿宋_GB2312" w:hAnsi="仿宋_GB2312" w:cs="仿宋_GB2312" w:eastAsia="仿宋_GB2312"/>
              </w:rPr>
              <w:t>3供应商的资格证明材料.docx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本项目不接受联合体谈判</w:t>
            </w:r>
          </w:p>
        </w:tc>
        <w:tc>
          <w:tcPr>
            <w:tcW w:type="dxa" w:w="3322"/>
          </w:tcPr>
          <w:p>
            <w:pPr>
              <w:pStyle w:val="null3"/>
            </w:pPr>
            <w:r>
              <w:rPr>
                <w:rFonts w:ascii="仿宋_GB2312" w:hAnsi="仿宋_GB2312" w:cs="仿宋_GB2312" w:eastAsia="仿宋_GB2312"/>
              </w:rPr>
              <w:t>本项目不接受联合体谈判，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3供应商的资格证明材料.docx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交货时间为本合同生效后 90 天内到货并安装调试交付使用</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自学校验收合格之日起3年</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合同签订后，供应商开具等额银行保函，采购人收到银行保函正本后，一次性付清合同货款，待货物到达指定地点、安装调试验收合格并提供全额增值税专用发票后，采购人退还银行保函正本</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响应报价未超过采购预算或者最高限价</w:t>
            </w:r>
          </w:p>
        </w:tc>
        <w:tc>
          <w:tcPr>
            <w:tcW w:type="dxa" w:w="3322"/>
          </w:tcPr>
          <w:p>
            <w:pPr>
              <w:pStyle w:val="null3"/>
            </w:pPr>
            <w:r>
              <w:rPr>
                <w:rFonts w:ascii="仿宋_GB2312" w:hAnsi="仿宋_GB2312" w:cs="仿宋_GB2312" w:eastAsia="仿宋_GB2312"/>
              </w:rPr>
              <w:t>响应报价未超过采购预算或者最高限价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响应文件封面 6供应商认为需要提供的其他资料.docx 5技术响应与偏离表.docx 4承诺书.docx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标的清单 1分项价格表.docx 报价表</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详见附件：3供应商的资格证明材料.docx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